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0" w:type="dxa"/>
        <w:tblInd w:w="-92" w:type="dxa"/>
        <w:tblLook w:val="01E0" w:firstRow="1" w:lastRow="1" w:firstColumn="1" w:lastColumn="1" w:noHBand="0" w:noVBand="0"/>
      </w:tblPr>
      <w:tblGrid>
        <w:gridCol w:w="3600"/>
        <w:gridCol w:w="6100"/>
      </w:tblGrid>
      <w:tr w:rsidR="005420F1" w:rsidRPr="005420F1" w:rsidTr="002F6C17">
        <w:tc>
          <w:tcPr>
            <w:tcW w:w="3600" w:type="dxa"/>
          </w:tcPr>
          <w:p w:rsidR="00315863" w:rsidRPr="005420F1" w:rsidRDefault="00315863" w:rsidP="008270C9">
            <w:pPr>
              <w:spacing w:after="120"/>
              <w:jc w:val="center"/>
              <w:rPr>
                <w:bCs/>
                <w:color w:val="000000" w:themeColor="text1"/>
                <w:sz w:val="26"/>
                <w:szCs w:val="26"/>
              </w:rPr>
            </w:pPr>
          </w:p>
        </w:tc>
        <w:tc>
          <w:tcPr>
            <w:tcW w:w="6100" w:type="dxa"/>
          </w:tcPr>
          <w:p w:rsidR="00315863" w:rsidRPr="005420F1" w:rsidRDefault="00315863" w:rsidP="0001047E">
            <w:pPr>
              <w:spacing w:after="120"/>
              <w:ind w:left="-214" w:firstLine="214"/>
              <w:rPr>
                <w:b/>
                <w:bCs/>
                <w:color w:val="000000" w:themeColor="text1"/>
                <w:sz w:val="28"/>
                <w:szCs w:val="28"/>
              </w:rPr>
            </w:pPr>
          </w:p>
        </w:tc>
      </w:tr>
    </w:tbl>
    <w:p w:rsidR="00744D0C" w:rsidRPr="0029351B" w:rsidRDefault="00744D0C" w:rsidP="008270C9">
      <w:pPr>
        <w:jc w:val="center"/>
        <w:rPr>
          <w:b/>
          <w:bCs/>
          <w:color w:val="000000" w:themeColor="text1"/>
          <w:sz w:val="28"/>
          <w:szCs w:val="28"/>
        </w:rPr>
      </w:pPr>
      <w:r w:rsidRPr="0029351B">
        <w:rPr>
          <w:b/>
          <w:bCs/>
          <w:color w:val="000000" w:themeColor="text1"/>
          <w:sz w:val="28"/>
          <w:szCs w:val="28"/>
        </w:rPr>
        <w:t>TÀI LIỆU TRUYỀN THÔNG</w:t>
      </w:r>
    </w:p>
    <w:p w:rsidR="000C12A8" w:rsidRPr="0029351B" w:rsidRDefault="005E5480" w:rsidP="000C12A8">
      <w:pPr>
        <w:jc w:val="center"/>
        <w:rPr>
          <w:b/>
          <w:bCs/>
          <w:color w:val="000000" w:themeColor="text1"/>
          <w:sz w:val="28"/>
          <w:szCs w:val="28"/>
        </w:rPr>
      </w:pPr>
      <w:r w:rsidRPr="0029351B">
        <w:rPr>
          <w:b/>
          <w:bCs/>
          <w:color w:val="000000" w:themeColor="text1"/>
          <w:sz w:val="28"/>
          <w:szCs w:val="28"/>
        </w:rPr>
        <w:t xml:space="preserve">Dự thảo </w:t>
      </w:r>
      <w:r w:rsidR="008270C9" w:rsidRPr="0029351B">
        <w:rPr>
          <w:b/>
          <w:bCs/>
          <w:color w:val="000000" w:themeColor="text1"/>
          <w:sz w:val="28"/>
          <w:szCs w:val="28"/>
        </w:rPr>
        <w:t>Nghị quyết Quy định</w:t>
      </w:r>
      <w:r w:rsidRPr="0029351B">
        <w:rPr>
          <w:b/>
          <w:bCs/>
          <w:color w:val="000000" w:themeColor="text1"/>
          <w:sz w:val="28"/>
          <w:szCs w:val="28"/>
        </w:rPr>
        <w:t xml:space="preserve"> </w:t>
      </w:r>
      <w:r w:rsidR="000C12A8" w:rsidRPr="0029351B">
        <w:rPr>
          <w:b/>
          <w:bCs/>
          <w:color w:val="000000" w:themeColor="text1"/>
          <w:sz w:val="28"/>
          <w:szCs w:val="28"/>
        </w:rPr>
        <w:t xml:space="preserve">một số đối tượng </w:t>
      </w:r>
    </w:p>
    <w:p w:rsidR="000C12A8" w:rsidRPr="0029351B" w:rsidRDefault="000C12A8" w:rsidP="000C12A8">
      <w:pPr>
        <w:jc w:val="center"/>
        <w:rPr>
          <w:b/>
          <w:bCs/>
          <w:color w:val="000000" w:themeColor="text1"/>
          <w:sz w:val="28"/>
          <w:szCs w:val="28"/>
        </w:rPr>
      </w:pPr>
      <w:r w:rsidRPr="0029351B">
        <w:rPr>
          <w:b/>
          <w:bCs/>
          <w:color w:val="000000" w:themeColor="text1"/>
          <w:sz w:val="28"/>
          <w:szCs w:val="28"/>
        </w:rPr>
        <w:t xml:space="preserve">chính sách khác tại địa phương được vay vốn từ nguồn vốn </w:t>
      </w:r>
    </w:p>
    <w:p w:rsidR="000C12A8" w:rsidRPr="0029351B" w:rsidRDefault="000C12A8" w:rsidP="000C12A8">
      <w:pPr>
        <w:jc w:val="center"/>
        <w:rPr>
          <w:b/>
          <w:bCs/>
          <w:color w:val="000000" w:themeColor="text1"/>
          <w:sz w:val="28"/>
          <w:szCs w:val="28"/>
        </w:rPr>
      </w:pPr>
      <w:r w:rsidRPr="0029351B">
        <w:rPr>
          <w:b/>
          <w:bCs/>
          <w:color w:val="000000" w:themeColor="text1"/>
          <w:sz w:val="28"/>
          <w:szCs w:val="28"/>
        </w:rPr>
        <w:t xml:space="preserve">ngân sách địa phương ủy thác qua Ngân hàng Chính sách </w:t>
      </w:r>
    </w:p>
    <w:p w:rsidR="00315863" w:rsidRPr="0029351B" w:rsidRDefault="000C12A8" w:rsidP="000C12A8">
      <w:pPr>
        <w:jc w:val="center"/>
        <w:rPr>
          <w:b/>
          <w:bCs/>
          <w:color w:val="000000" w:themeColor="text1"/>
          <w:sz w:val="28"/>
          <w:szCs w:val="28"/>
        </w:rPr>
      </w:pPr>
      <w:r w:rsidRPr="0029351B">
        <w:rPr>
          <w:b/>
          <w:bCs/>
          <w:color w:val="000000" w:themeColor="text1"/>
          <w:sz w:val="28"/>
          <w:szCs w:val="28"/>
        </w:rPr>
        <w:t>xã hội trên địa bàn tỉnh Tây Ninh</w:t>
      </w:r>
    </w:p>
    <w:p w:rsidR="000C12A8" w:rsidRPr="005420F1" w:rsidRDefault="000C12A8" w:rsidP="000C12A8">
      <w:pPr>
        <w:jc w:val="center"/>
        <w:rPr>
          <w:b/>
          <w:bCs/>
          <w:color w:val="000000" w:themeColor="text1"/>
          <w:sz w:val="32"/>
          <w:szCs w:val="32"/>
        </w:rPr>
      </w:pPr>
    </w:p>
    <w:p w:rsidR="00016762" w:rsidRPr="005420F1" w:rsidRDefault="00983F95" w:rsidP="00EC77B3">
      <w:pPr>
        <w:spacing w:before="120" w:after="120" w:line="360" w:lineRule="exact"/>
        <w:ind w:firstLine="709"/>
        <w:jc w:val="both"/>
        <w:rPr>
          <w:rFonts w:asciiTheme="majorHAnsi" w:hAnsiTheme="majorHAnsi" w:cstheme="majorHAnsi"/>
          <w:b/>
          <w:color w:val="000000" w:themeColor="text1"/>
          <w:sz w:val="28"/>
          <w:szCs w:val="28"/>
          <w:lang w:val="nl-NL"/>
        </w:rPr>
      </w:pPr>
      <w:r w:rsidRPr="005420F1">
        <w:rPr>
          <w:rFonts w:asciiTheme="majorHAnsi" w:hAnsiTheme="majorHAnsi" w:cstheme="majorHAnsi"/>
          <w:b/>
          <w:color w:val="000000" w:themeColor="text1"/>
          <w:sz w:val="28"/>
          <w:szCs w:val="28"/>
          <w:lang w:val="nl-NL"/>
        </w:rPr>
        <w:t>I</w:t>
      </w:r>
      <w:r w:rsidR="001D4C44" w:rsidRPr="005420F1">
        <w:rPr>
          <w:rFonts w:asciiTheme="majorHAnsi" w:hAnsiTheme="majorHAnsi" w:cstheme="majorHAnsi"/>
          <w:b/>
          <w:color w:val="000000" w:themeColor="text1"/>
          <w:sz w:val="28"/>
          <w:szCs w:val="28"/>
          <w:lang w:val="nl-NL"/>
        </w:rPr>
        <w:t xml:space="preserve">. </w:t>
      </w:r>
      <w:r w:rsidR="00240F05" w:rsidRPr="005420F1">
        <w:rPr>
          <w:rFonts w:asciiTheme="majorHAnsi" w:hAnsiTheme="majorHAnsi" w:cstheme="majorHAnsi"/>
          <w:b/>
          <w:color w:val="000000" w:themeColor="text1"/>
          <w:sz w:val="28"/>
          <w:szCs w:val="28"/>
          <w:lang w:val="nl-NL"/>
        </w:rPr>
        <w:t>SỰ CẦN THIẾT BAN HÀNH CHÍNH SÁCH</w:t>
      </w:r>
    </w:p>
    <w:p w:rsidR="00686752" w:rsidRPr="005420F1" w:rsidRDefault="00686752" w:rsidP="00EC77B3">
      <w:pPr>
        <w:spacing w:before="120" w:after="120" w:line="360" w:lineRule="exact"/>
        <w:ind w:firstLine="709"/>
        <w:jc w:val="both"/>
        <w:rPr>
          <w:color w:val="000000" w:themeColor="text1"/>
          <w:sz w:val="28"/>
          <w:szCs w:val="28"/>
        </w:rPr>
      </w:pPr>
      <w:r w:rsidRPr="005420F1">
        <w:rPr>
          <w:color w:val="000000" w:themeColor="text1"/>
          <w:sz w:val="28"/>
          <w:szCs w:val="28"/>
        </w:rPr>
        <w:t>Trong những năm qua, Chi nhánh Ngân hàng Chính sách xã hội (NHCSXH) tỉnh và các tổ chức chính trị - xã hội (CT-XH) nhận ủy thác phối hợp chặt chẽ thực hiện có hiệu quả các nội dung ủy thác, giúp cho việc chuyển tải nguồn vốn đến với người nghèo và các đối tượng chính sách khác nhanh chóng, kịp thời, đúng đối tượng thụ hưởng. Đến nay, vốn tín dụng chính sách xã hội được đầu tư cho phát triển sản xuất, tạo sinh kế, tạo việc làm và đáp ứng nhu cầu thiết yếu trong đời sống của người nghèo và các đối tượng chính sách khác.</w:t>
      </w:r>
    </w:p>
    <w:p w:rsidR="00686752" w:rsidRPr="005420F1" w:rsidRDefault="00686752" w:rsidP="00EC77B3">
      <w:pPr>
        <w:spacing w:before="120" w:after="120" w:line="360" w:lineRule="exact"/>
        <w:ind w:firstLine="709"/>
        <w:jc w:val="both"/>
        <w:rPr>
          <w:rFonts w:eastAsia="Calibri"/>
          <w:color w:val="000000" w:themeColor="text1"/>
          <w:sz w:val="28"/>
          <w:szCs w:val="28"/>
          <w:lang w:val="es-ES"/>
        </w:rPr>
      </w:pPr>
      <w:r w:rsidRPr="005420F1">
        <w:rPr>
          <w:color w:val="000000" w:themeColor="text1"/>
          <w:sz w:val="28"/>
          <w:szCs w:val="28"/>
          <w:lang w:val="pt-BR"/>
        </w:rPr>
        <w:t>Vốn tín dụng chính sách xã hội được đầu tư đến 94/94 xã, phường, thị trấn, 100% ấp, khu phố</w:t>
      </w:r>
      <w:r w:rsidRPr="005420F1">
        <w:rPr>
          <w:rFonts w:eastAsia="Calibri"/>
          <w:color w:val="000000" w:themeColor="text1"/>
          <w:sz w:val="28"/>
          <w:szCs w:val="28"/>
          <w:lang w:val="es-ES"/>
        </w:rPr>
        <w:t>, đã cơ bản đáp ứng được nguyện vọng của nhân dân, đặc biệt là các tầng lớp dân cư có thu nhập thấp, góp phần tạo thêm công ăn việc làm, nâng cao sức sản xuất hàng hóa, cải thiện đời sống, ổn định trật tự xã hội tại địa phương, ngăn chặn nạn cho vay lãi nặng ở nông thôn, giảm tỷ lệ hộ nghèo, giảm tỷ lệ thất nghiệp, thực hiện Chương trình MTQG giảm nghèo bền vững, xây dựng nông thôn mới, bảo đảm an sinh xã hội, ổn định chính trị, trật tự xã hội, an ninh quốc phòng tại địa phương.</w:t>
      </w:r>
    </w:p>
    <w:p w:rsidR="00686752" w:rsidRPr="005420F1" w:rsidRDefault="00686752" w:rsidP="00EC77B3">
      <w:pPr>
        <w:spacing w:before="120" w:after="120" w:line="360" w:lineRule="exact"/>
        <w:ind w:firstLine="709"/>
        <w:jc w:val="both"/>
        <w:rPr>
          <w:i/>
          <w:color w:val="000000" w:themeColor="text1"/>
          <w:sz w:val="28"/>
          <w:szCs w:val="28"/>
        </w:rPr>
      </w:pPr>
      <w:r w:rsidRPr="005420F1">
        <w:rPr>
          <w:color w:val="000000" w:themeColor="text1"/>
          <w:sz w:val="28"/>
          <w:szCs w:val="28"/>
        </w:rPr>
        <w:t xml:space="preserve">Tuy nhiên, hiện tại tỉnh Tây Ninh chưa có ban hành Nghị quyết quy định một số đối tượng chính sách khác tại địa phương được vay vốn từ nguồn vốn ngân sách địa phương ủy thác qua Ngân hàng Chính sách xã hội </w:t>
      </w:r>
      <w:r w:rsidRPr="005420F1">
        <w:rPr>
          <w:i/>
          <w:color w:val="000000" w:themeColor="text1"/>
          <w:sz w:val="28"/>
          <w:szCs w:val="28"/>
        </w:rPr>
        <w:t xml:space="preserve">(Theo Khoản 3 </w:t>
      </w:r>
      <w:r w:rsidRPr="005420F1">
        <w:rPr>
          <w:color w:val="000000" w:themeColor="text1"/>
          <w:sz w:val="28"/>
          <w:szCs w:val="28"/>
        </w:rPr>
        <w:t xml:space="preserve">Điều 5 Thông tư số 11/2017/TT-BTC ngày 08/02/2017 quy định: </w:t>
      </w:r>
      <w:r w:rsidRPr="005420F1">
        <w:rPr>
          <w:i/>
          <w:color w:val="000000" w:themeColor="text1"/>
          <w:sz w:val="28"/>
          <w:szCs w:val="28"/>
        </w:rPr>
        <w:t>“Đối tượng cho vay: theo quy định tại Điều 2 Nghị định số 78/2002/NĐ-CP ngày 04/10/2002 của Chính phủ về tín dụng đối với người nghèo và các đối tượng chính sách khác (sau đây viết tắt là Nghị định số 78/2002/NĐ-CP) và một số đối tượng chính sách khác tại địa phương do Hội đồng nhân dân cấp tỉnh quyết định (nếu có)”</w:t>
      </w:r>
      <w:r w:rsidRPr="005420F1">
        <w:rPr>
          <w:bCs/>
          <w:i/>
          <w:color w:val="000000" w:themeColor="text1"/>
          <w:spacing w:val="-4"/>
          <w:sz w:val="28"/>
          <w:szCs w:val="28"/>
        </w:rPr>
        <w:t xml:space="preserve">). </w:t>
      </w:r>
      <w:r w:rsidRPr="005420F1">
        <w:rPr>
          <w:bCs/>
          <w:color w:val="000000" w:themeColor="text1"/>
          <w:spacing w:val="-4"/>
          <w:sz w:val="28"/>
          <w:szCs w:val="28"/>
        </w:rPr>
        <w:t xml:space="preserve">Do vậy việc ban hành chính sách </w:t>
      </w:r>
      <w:r w:rsidRPr="005420F1">
        <w:rPr>
          <w:color w:val="000000" w:themeColor="text1"/>
          <w:sz w:val="28"/>
          <w:szCs w:val="28"/>
        </w:rPr>
        <w:t xml:space="preserve">là rất cần thiết. </w:t>
      </w:r>
    </w:p>
    <w:p w:rsidR="009F6C67" w:rsidRPr="005420F1" w:rsidRDefault="003873B5" w:rsidP="00EC77B3">
      <w:pPr>
        <w:spacing w:before="120" w:after="120" w:line="360" w:lineRule="exact"/>
        <w:ind w:firstLine="709"/>
        <w:jc w:val="both"/>
        <w:rPr>
          <w:b/>
          <w:color w:val="000000" w:themeColor="text1"/>
          <w:sz w:val="28"/>
          <w:szCs w:val="28"/>
          <w:lang w:val="es-ES"/>
        </w:rPr>
      </w:pPr>
      <w:r w:rsidRPr="005420F1">
        <w:rPr>
          <w:b/>
          <w:color w:val="000000" w:themeColor="text1"/>
          <w:sz w:val="28"/>
          <w:szCs w:val="28"/>
          <w:lang w:val="es-ES"/>
        </w:rPr>
        <w:t>II</w:t>
      </w:r>
      <w:r w:rsidR="009F6C67" w:rsidRPr="005420F1">
        <w:rPr>
          <w:b/>
          <w:color w:val="000000" w:themeColor="text1"/>
          <w:sz w:val="28"/>
          <w:szCs w:val="28"/>
          <w:lang w:val="es-ES"/>
        </w:rPr>
        <w:t xml:space="preserve">. </w:t>
      </w:r>
      <w:r w:rsidRPr="005420F1">
        <w:rPr>
          <w:b/>
          <w:color w:val="000000" w:themeColor="text1"/>
          <w:sz w:val="28"/>
          <w:szCs w:val="28"/>
          <w:lang w:val="es-ES"/>
        </w:rPr>
        <w:t>MỤC ĐÍCH</w:t>
      </w:r>
      <w:r w:rsidR="005C7DB2" w:rsidRPr="005420F1">
        <w:rPr>
          <w:b/>
          <w:color w:val="000000" w:themeColor="text1"/>
          <w:sz w:val="28"/>
          <w:szCs w:val="28"/>
          <w:lang w:val="es-ES"/>
        </w:rPr>
        <w:t>, QUAN ĐIỂM XÂY DỰNG CHÍNH SÁCH</w:t>
      </w:r>
    </w:p>
    <w:p w:rsidR="005C7DB2" w:rsidRPr="005420F1" w:rsidRDefault="005C7DB2" w:rsidP="00EC77B3">
      <w:pPr>
        <w:spacing w:before="120" w:after="120" w:line="360" w:lineRule="exact"/>
        <w:ind w:firstLine="709"/>
        <w:jc w:val="both"/>
        <w:rPr>
          <w:b/>
          <w:color w:val="000000" w:themeColor="text1"/>
          <w:sz w:val="28"/>
          <w:szCs w:val="28"/>
        </w:rPr>
      </w:pPr>
      <w:r w:rsidRPr="005420F1">
        <w:rPr>
          <w:b/>
          <w:color w:val="000000" w:themeColor="text1"/>
          <w:sz w:val="28"/>
          <w:szCs w:val="28"/>
        </w:rPr>
        <w:t>1. Mục đích</w:t>
      </w:r>
    </w:p>
    <w:p w:rsidR="006B6E28" w:rsidRPr="005420F1" w:rsidRDefault="006B6E28" w:rsidP="00EC77B3">
      <w:pPr>
        <w:spacing w:before="120" w:after="120" w:line="360" w:lineRule="exact"/>
        <w:ind w:firstLine="709"/>
        <w:jc w:val="both"/>
        <w:rPr>
          <w:color w:val="000000" w:themeColor="text1"/>
          <w:sz w:val="28"/>
          <w:szCs w:val="28"/>
        </w:rPr>
      </w:pPr>
      <w:r w:rsidRPr="005420F1">
        <w:rPr>
          <w:color w:val="000000" w:themeColor="text1"/>
          <w:sz w:val="28"/>
          <w:szCs w:val="28"/>
        </w:rPr>
        <w:lastRenderedPageBreak/>
        <w:t>Văn bản quy phạm pháp luật ban hành cụ thể hóa quy định đối tượng vay vốn từ nguồn vốn ngân sách địa phương ủy thác qua Chi nhánh NHCSXH tỉnh nhằm tạo điều kiện cho hộ nghèo tỉnh và các đối tượng chính sách khác được vay vốn từ nguồn vốn uỷ thác góp phần tích cực trong phát triển KT-XH, thực hiện mục tiêu giảm nghèo, giải quyết việc làm và đảm bảo an sinh xã hội, xây dựng nông thôn mới.</w:t>
      </w:r>
    </w:p>
    <w:p w:rsidR="005C7DB2" w:rsidRPr="005420F1" w:rsidRDefault="005C7DB2" w:rsidP="00EC77B3">
      <w:pPr>
        <w:spacing w:before="120" w:after="120" w:line="360" w:lineRule="exact"/>
        <w:ind w:firstLine="709"/>
        <w:jc w:val="both"/>
        <w:rPr>
          <w:b/>
          <w:color w:val="000000" w:themeColor="text1"/>
          <w:sz w:val="28"/>
          <w:szCs w:val="28"/>
        </w:rPr>
      </w:pPr>
      <w:r w:rsidRPr="005420F1">
        <w:rPr>
          <w:b/>
          <w:color w:val="000000" w:themeColor="text1"/>
          <w:sz w:val="28"/>
          <w:szCs w:val="28"/>
        </w:rPr>
        <w:t>2. Quan điểm xây dựng chính sách</w:t>
      </w:r>
    </w:p>
    <w:p w:rsidR="006B6E28" w:rsidRPr="005420F1" w:rsidRDefault="006B6E28" w:rsidP="00EC77B3">
      <w:pPr>
        <w:spacing w:before="120" w:after="120" w:line="360" w:lineRule="exact"/>
        <w:ind w:firstLine="709"/>
        <w:jc w:val="both"/>
        <w:rPr>
          <w:color w:val="000000" w:themeColor="text1"/>
          <w:sz w:val="28"/>
          <w:szCs w:val="28"/>
        </w:rPr>
      </w:pPr>
      <w:r w:rsidRPr="005420F1">
        <w:rPr>
          <w:color w:val="000000" w:themeColor="text1"/>
          <w:sz w:val="28"/>
          <w:szCs w:val="28"/>
        </w:rPr>
        <w:t>a. Việc xây dựng Nghị quyết tuân thủ quy định về tín dụng đối với ng</w:t>
      </w:r>
      <w:r w:rsidRPr="005420F1">
        <w:rPr>
          <w:rFonts w:hint="eastAsia"/>
          <w:color w:val="000000" w:themeColor="text1"/>
          <w:sz w:val="28"/>
          <w:szCs w:val="28"/>
        </w:rPr>
        <w:t>ư</w:t>
      </w:r>
      <w:r w:rsidRPr="005420F1">
        <w:rPr>
          <w:color w:val="000000" w:themeColor="text1"/>
          <w:sz w:val="28"/>
          <w:szCs w:val="28"/>
        </w:rPr>
        <w:t>ời nghèo và các đối tượng chính sách khác, Luật ngân sách nhà nước và các văn bản pháp luật có liên quan;</w:t>
      </w:r>
    </w:p>
    <w:p w:rsidR="006B6E28" w:rsidRPr="005420F1" w:rsidRDefault="006B6E28" w:rsidP="00EC77B3">
      <w:pPr>
        <w:spacing w:before="120" w:after="120" w:line="360" w:lineRule="exact"/>
        <w:ind w:firstLine="709"/>
        <w:jc w:val="both"/>
        <w:rPr>
          <w:color w:val="000000" w:themeColor="text1"/>
          <w:sz w:val="28"/>
          <w:szCs w:val="28"/>
        </w:rPr>
      </w:pPr>
      <w:r w:rsidRPr="005420F1">
        <w:rPr>
          <w:color w:val="000000" w:themeColor="text1"/>
          <w:sz w:val="28"/>
          <w:szCs w:val="28"/>
        </w:rPr>
        <w:t>b. Nghị quyết tuân thủ hình thức, trình tự, thủ tục xây dựng, ban hành văn bản quy phạm pháp luật được quy định Luật ban hành văn bản quy phạm pháp luật năm 2015; Luật sửa đổi, bổ sung một số điều của Luật ban hành văn bản quy phạm pháp luật năm 2020 và các văn bản hướng dẫn;</w:t>
      </w:r>
    </w:p>
    <w:p w:rsidR="006B6E28" w:rsidRPr="005420F1" w:rsidRDefault="006B6E28" w:rsidP="00EC77B3">
      <w:pPr>
        <w:spacing w:before="120" w:after="120" w:line="360" w:lineRule="exact"/>
        <w:ind w:firstLine="709"/>
        <w:jc w:val="both"/>
        <w:rPr>
          <w:color w:val="000000" w:themeColor="text1"/>
          <w:sz w:val="28"/>
          <w:szCs w:val="28"/>
        </w:rPr>
      </w:pPr>
      <w:r w:rsidRPr="005420F1">
        <w:rPr>
          <w:color w:val="000000" w:themeColor="text1"/>
          <w:sz w:val="28"/>
          <w:szCs w:val="28"/>
        </w:rPr>
        <w:t xml:space="preserve">c. Cơ chế thực hiện các chính sách quy định đối tượng cho vay vốn từ nguồn vốn ngân sách địa phương ủy thác qua Ngân hàng Chính sách xã hội bám sát vào quy định tại </w:t>
      </w:r>
      <w:r w:rsidRPr="005420F1">
        <w:rPr>
          <w:bCs/>
          <w:color w:val="000000" w:themeColor="text1"/>
          <w:spacing w:val="-4"/>
          <w:sz w:val="28"/>
          <w:szCs w:val="28"/>
        </w:rPr>
        <w:t>Nghị định số 78/2002/N</w:t>
      </w:r>
      <w:r w:rsidRPr="005420F1">
        <w:rPr>
          <w:rFonts w:hint="eastAsia"/>
          <w:bCs/>
          <w:color w:val="000000" w:themeColor="text1"/>
          <w:spacing w:val="-4"/>
          <w:sz w:val="28"/>
          <w:szCs w:val="28"/>
        </w:rPr>
        <w:t>Đ</w:t>
      </w:r>
      <w:r w:rsidRPr="005420F1">
        <w:rPr>
          <w:bCs/>
          <w:color w:val="000000" w:themeColor="text1"/>
          <w:spacing w:val="-4"/>
          <w:sz w:val="28"/>
          <w:szCs w:val="28"/>
        </w:rPr>
        <w:t>-CP ngày 04 tháng 10 n</w:t>
      </w:r>
      <w:r w:rsidRPr="005420F1">
        <w:rPr>
          <w:rFonts w:hint="eastAsia"/>
          <w:bCs/>
          <w:color w:val="000000" w:themeColor="text1"/>
          <w:spacing w:val="-4"/>
          <w:sz w:val="28"/>
          <w:szCs w:val="28"/>
        </w:rPr>
        <w:t>ă</w:t>
      </w:r>
      <w:r w:rsidRPr="005420F1">
        <w:rPr>
          <w:bCs/>
          <w:color w:val="000000" w:themeColor="text1"/>
          <w:spacing w:val="-4"/>
          <w:sz w:val="28"/>
          <w:szCs w:val="28"/>
        </w:rPr>
        <w:t>m 2002 của Chính phủ, Thông tư số 11/2017/TT-BTC ngày 08 tháng 02 năm 2017 của Bộ trưởng Bộ Tài chính</w:t>
      </w:r>
      <w:r w:rsidRPr="005420F1">
        <w:rPr>
          <w:color w:val="000000" w:themeColor="text1"/>
          <w:sz w:val="28"/>
          <w:szCs w:val="28"/>
        </w:rPr>
        <w:t>, phù hợp khả năng cân đối các nguồn lực và điều kiện cụ thể của địa phương.</w:t>
      </w:r>
    </w:p>
    <w:p w:rsidR="009F6C67" w:rsidRPr="005420F1" w:rsidRDefault="005C7DB2" w:rsidP="00EC77B3">
      <w:pPr>
        <w:spacing w:before="120" w:after="120" w:line="360" w:lineRule="exact"/>
        <w:ind w:firstLine="709"/>
        <w:jc w:val="both"/>
        <w:rPr>
          <w:strike/>
          <w:color w:val="000000" w:themeColor="text1"/>
          <w:sz w:val="28"/>
          <w:szCs w:val="28"/>
        </w:rPr>
      </w:pPr>
      <w:r w:rsidRPr="005420F1">
        <w:rPr>
          <w:b/>
          <w:color w:val="000000" w:themeColor="text1"/>
          <w:sz w:val="28"/>
          <w:szCs w:val="28"/>
        </w:rPr>
        <w:t>III.</w:t>
      </w:r>
      <w:r w:rsidR="005B7B92" w:rsidRPr="005420F1">
        <w:rPr>
          <w:b/>
          <w:color w:val="000000" w:themeColor="text1"/>
          <w:sz w:val="28"/>
          <w:szCs w:val="28"/>
        </w:rPr>
        <w:t xml:space="preserve"> </w:t>
      </w:r>
      <w:r w:rsidR="00DC376B">
        <w:rPr>
          <w:b/>
          <w:color w:val="000000" w:themeColor="text1"/>
          <w:sz w:val="28"/>
          <w:szCs w:val="28"/>
        </w:rPr>
        <w:t>PHẠM VI ĐIỀU CHỈNH, Đ</w:t>
      </w:r>
      <w:bookmarkStart w:id="0" w:name="_GoBack"/>
      <w:bookmarkEnd w:id="0"/>
      <w:r w:rsidRPr="005420F1">
        <w:rPr>
          <w:b/>
          <w:color w:val="000000" w:themeColor="text1"/>
          <w:sz w:val="28"/>
          <w:szCs w:val="28"/>
        </w:rPr>
        <w:t>ỐI TƯỢNG ÁP DỤNG CHÍNH SÁCH</w:t>
      </w:r>
    </w:p>
    <w:p w:rsidR="009F6C67" w:rsidRPr="005420F1" w:rsidRDefault="009F6C67" w:rsidP="00EC77B3">
      <w:pPr>
        <w:spacing w:before="120" w:after="120" w:line="360" w:lineRule="exact"/>
        <w:ind w:firstLine="709"/>
        <w:jc w:val="both"/>
        <w:rPr>
          <w:b/>
          <w:color w:val="000000" w:themeColor="text1"/>
          <w:sz w:val="28"/>
          <w:szCs w:val="28"/>
          <w:lang w:val="es-ES"/>
        </w:rPr>
      </w:pPr>
      <w:r w:rsidRPr="005420F1">
        <w:rPr>
          <w:b/>
          <w:color w:val="000000" w:themeColor="text1"/>
          <w:sz w:val="28"/>
          <w:szCs w:val="28"/>
          <w:lang w:val="es-ES"/>
        </w:rPr>
        <w:t>1. Phạm vi điều chỉnh</w:t>
      </w:r>
    </w:p>
    <w:p w:rsidR="00EA05EB" w:rsidRPr="005420F1" w:rsidRDefault="00EA05EB" w:rsidP="00EC77B3">
      <w:pPr>
        <w:spacing w:before="120" w:after="120" w:line="360" w:lineRule="exact"/>
        <w:ind w:firstLine="709"/>
        <w:jc w:val="both"/>
        <w:rPr>
          <w:color w:val="000000" w:themeColor="text1"/>
          <w:sz w:val="28"/>
          <w:szCs w:val="28"/>
        </w:rPr>
      </w:pPr>
      <w:r w:rsidRPr="005420F1">
        <w:rPr>
          <w:color w:val="000000" w:themeColor="text1"/>
          <w:sz w:val="28"/>
          <w:szCs w:val="28"/>
        </w:rPr>
        <w:t>Nghị quyết này quy định đối tượng vay vốn là hộ nghèo tỉnh và các đối tượng chính sách khác được vay vốn từ nguồn vốn ngân sách địa phương ủy thác qua Ngân hàng Chính sách xã hội (ngoài các đối tượng quy định tại Điều 2 Nghị định số 78/2002/NĐ-CP ngày 04/10/2022 của Chính phủ về tín dụng đối với người nghèo và các đối tượng chính sách khác).</w:t>
      </w:r>
    </w:p>
    <w:p w:rsidR="009F6C67" w:rsidRPr="005420F1" w:rsidRDefault="009F6C67" w:rsidP="00EC77B3">
      <w:pPr>
        <w:spacing w:before="120" w:after="120" w:line="360" w:lineRule="exact"/>
        <w:ind w:firstLine="709"/>
        <w:jc w:val="both"/>
        <w:rPr>
          <w:b/>
          <w:color w:val="000000" w:themeColor="text1"/>
          <w:sz w:val="28"/>
          <w:szCs w:val="28"/>
          <w:lang w:val="es-ES"/>
        </w:rPr>
      </w:pPr>
      <w:r w:rsidRPr="005420F1">
        <w:rPr>
          <w:b/>
          <w:color w:val="000000" w:themeColor="text1"/>
          <w:sz w:val="28"/>
          <w:szCs w:val="28"/>
          <w:lang w:val="es-ES"/>
        </w:rPr>
        <w:t>2. Đối tượng áp dụng</w:t>
      </w:r>
      <w:r w:rsidR="005C7DB2" w:rsidRPr="005420F1">
        <w:rPr>
          <w:b/>
          <w:color w:val="000000" w:themeColor="text1"/>
          <w:sz w:val="28"/>
          <w:szCs w:val="28"/>
          <w:lang w:val="es-ES"/>
        </w:rPr>
        <w:t xml:space="preserve"> chính sách</w:t>
      </w:r>
    </w:p>
    <w:p w:rsidR="00EA05EB" w:rsidRPr="005420F1" w:rsidRDefault="00EA05EB" w:rsidP="00EC77B3">
      <w:pPr>
        <w:spacing w:before="120" w:after="120" w:line="360" w:lineRule="exact"/>
        <w:ind w:firstLine="709"/>
        <w:jc w:val="both"/>
        <w:rPr>
          <w:color w:val="000000" w:themeColor="text1"/>
          <w:sz w:val="28"/>
          <w:szCs w:val="28"/>
        </w:rPr>
      </w:pPr>
      <w:r w:rsidRPr="005420F1">
        <w:rPr>
          <w:color w:val="000000" w:themeColor="text1"/>
          <w:sz w:val="28"/>
          <w:szCs w:val="28"/>
        </w:rPr>
        <w:t>- Chi nhánh Ngân hàng Chính sách xã hội tỉnh Tây Ninh; Phòng giao dịch Ngân hàng Chính sách xã hội huyện, thị xã.</w:t>
      </w:r>
    </w:p>
    <w:p w:rsidR="00EA05EB" w:rsidRPr="005420F1" w:rsidRDefault="00EA05EB" w:rsidP="00EC77B3">
      <w:pPr>
        <w:spacing w:before="120" w:after="120" w:line="360" w:lineRule="exact"/>
        <w:ind w:firstLine="709"/>
        <w:jc w:val="both"/>
        <w:rPr>
          <w:color w:val="000000" w:themeColor="text1"/>
          <w:sz w:val="28"/>
          <w:szCs w:val="28"/>
        </w:rPr>
      </w:pPr>
      <w:r w:rsidRPr="005420F1">
        <w:rPr>
          <w:color w:val="000000" w:themeColor="text1"/>
          <w:sz w:val="28"/>
          <w:szCs w:val="28"/>
        </w:rPr>
        <w:t>- Ủy ban nhân dân các huyện, thị xã, thành phố; Ủy ban nhân dân các xã, phường, thị trấn.</w:t>
      </w:r>
    </w:p>
    <w:p w:rsidR="00EA05EB" w:rsidRPr="005420F1" w:rsidRDefault="00EA05EB" w:rsidP="00EC77B3">
      <w:pPr>
        <w:spacing w:before="120" w:after="120" w:line="360" w:lineRule="exact"/>
        <w:ind w:firstLine="709"/>
        <w:jc w:val="both"/>
        <w:rPr>
          <w:color w:val="000000" w:themeColor="text1"/>
          <w:sz w:val="28"/>
          <w:szCs w:val="28"/>
        </w:rPr>
      </w:pPr>
      <w:r w:rsidRPr="005420F1">
        <w:rPr>
          <w:color w:val="000000" w:themeColor="text1"/>
          <w:sz w:val="28"/>
          <w:szCs w:val="28"/>
        </w:rPr>
        <w:t>- Các cơ quan có trách nhiệm trong việc quản lý và sử dụng nguồn vốn từ ngân sách địa phương (ngân sách tỉnh, ngân sách huyện, ngân sách thị xã và ngân sách thành phố) ủy thác qua Ngân hàng Chính sách xã hội để cho vay đối với người nghèo và các đối tượng chính sách khác: Cơ quan Tài chính, Cơ quan Lao động – Thương binh và Xã hội, …</w:t>
      </w:r>
    </w:p>
    <w:p w:rsidR="00EA05EB" w:rsidRPr="005420F1" w:rsidRDefault="00EA05EB" w:rsidP="00EC77B3">
      <w:pPr>
        <w:spacing w:before="120" w:after="120" w:line="360" w:lineRule="exact"/>
        <w:ind w:firstLine="709"/>
        <w:jc w:val="both"/>
        <w:rPr>
          <w:color w:val="000000" w:themeColor="text1"/>
          <w:sz w:val="28"/>
          <w:szCs w:val="28"/>
        </w:rPr>
      </w:pPr>
      <w:r w:rsidRPr="005420F1">
        <w:rPr>
          <w:color w:val="000000" w:themeColor="text1"/>
          <w:sz w:val="28"/>
          <w:szCs w:val="28"/>
        </w:rPr>
        <w:t xml:space="preserve">- Các Tổ chức - chính trị nhận uỷ thác, Tổ tiết kiệm và vay vốn. </w:t>
      </w:r>
    </w:p>
    <w:p w:rsidR="00EA05EB" w:rsidRPr="005420F1" w:rsidRDefault="00EA05EB" w:rsidP="00EC77B3">
      <w:pPr>
        <w:spacing w:before="120" w:after="120" w:line="360" w:lineRule="exact"/>
        <w:ind w:firstLine="709"/>
        <w:jc w:val="both"/>
        <w:rPr>
          <w:color w:val="000000" w:themeColor="text1"/>
          <w:sz w:val="28"/>
          <w:szCs w:val="28"/>
        </w:rPr>
      </w:pPr>
      <w:r w:rsidRPr="005420F1">
        <w:rPr>
          <w:color w:val="000000" w:themeColor="text1"/>
          <w:sz w:val="28"/>
          <w:szCs w:val="28"/>
        </w:rPr>
        <w:t xml:space="preserve">- Cá nhân, hộ gia đình có nhu cầu vay vốn để </w:t>
      </w:r>
      <w:r w:rsidRPr="005420F1">
        <w:rPr>
          <w:rFonts w:eastAsia="Calibri"/>
          <w:color w:val="000000" w:themeColor="text1"/>
          <w:spacing w:val="-2"/>
          <w:sz w:val="28"/>
          <w:szCs w:val="28"/>
          <w:lang w:val="nl-NL"/>
        </w:rPr>
        <w:t>sản xuất, kinh doanh, t</w:t>
      </w:r>
      <w:r w:rsidRPr="005420F1">
        <w:rPr>
          <w:color w:val="000000" w:themeColor="text1"/>
          <w:sz w:val="28"/>
          <w:szCs w:val="28"/>
        </w:rPr>
        <w:t>ạo việc làm, cải thiện cuộc sống, điều kiện sinh hoạt, góp phần thực hiện mục tiêu xoá đói, giảm nghèo, đảm bảo an sinh xã hội.</w:t>
      </w:r>
    </w:p>
    <w:p w:rsidR="005C7DB2" w:rsidRPr="005420F1" w:rsidRDefault="005C7DB2" w:rsidP="00EC77B3">
      <w:pPr>
        <w:spacing w:before="120" w:after="120" w:line="360" w:lineRule="exact"/>
        <w:ind w:firstLine="709"/>
        <w:jc w:val="both"/>
        <w:rPr>
          <w:b/>
          <w:color w:val="000000" w:themeColor="text1"/>
          <w:sz w:val="28"/>
          <w:szCs w:val="28"/>
        </w:rPr>
      </w:pPr>
      <w:r w:rsidRPr="005420F1">
        <w:rPr>
          <w:b/>
          <w:color w:val="000000" w:themeColor="text1"/>
          <w:sz w:val="28"/>
          <w:szCs w:val="28"/>
        </w:rPr>
        <w:t>IV. NỘI DUNG CƠ BẢN CỦA CHÍNH SÁCH</w:t>
      </w:r>
    </w:p>
    <w:p w:rsidR="00192A67" w:rsidRPr="005420F1" w:rsidRDefault="00192A67" w:rsidP="00EC77B3">
      <w:pPr>
        <w:spacing w:before="120" w:after="120" w:line="360" w:lineRule="exact"/>
        <w:ind w:firstLine="709"/>
        <w:jc w:val="both"/>
        <w:rPr>
          <w:b/>
          <w:color w:val="000000" w:themeColor="text1"/>
          <w:sz w:val="28"/>
          <w:szCs w:val="28"/>
        </w:rPr>
      </w:pPr>
      <w:r w:rsidRPr="005420F1">
        <w:rPr>
          <w:b/>
          <w:color w:val="000000" w:themeColor="text1"/>
          <w:sz w:val="28"/>
          <w:szCs w:val="28"/>
        </w:rPr>
        <w:t>1. Tên gọi Nghị quyết</w:t>
      </w:r>
      <w:r w:rsidRPr="005420F1">
        <w:rPr>
          <w:color w:val="000000" w:themeColor="text1"/>
          <w:sz w:val="28"/>
          <w:szCs w:val="28"/>
        </w:rPr>
        <w:t>: Quy định một số đối tượng chính sách khác tại địa phương được vay vốn từ nguồn vốn ngân sách địa phương ủy thác qua Ngân hàng Chính sách xã hội trên địa bàn tỉnh Tây Ninh</w:t>
      </w:r>
      <w:r w:rsidRPr="005420F1">
        <w:rPr>
          <w:b/>
          <w:color w:val="000000" w:themeColor="text1"/>
          <w:sz w:val="28"/>
          <w:szCs w:val="28"/>
        </w:rPr>
        <w:t xml:space="preserve"> </w:t>
      </w:r>
    </w:p>
    <w:p w:rsidR="00192A67" w:rsidRPr="005420F1" w:rsidRDefault="00192A67" w:rsidP="00EC77B3">
      <w:pPr>
        <w:spacing w:before="120" w:after="120" w:line="360" w:lineRule="exact"/>
        <w:ind w:firstLine="709"/>
        <w:jc w:val="both"/>
        <w:rPr>
          <w:color w:val="000000" w:themeColor="text1"/>
          <w:sz w:val="28"/>
          <w:szCs w:val="28"/>
        </w:rPr>
      </w:pPr>
      <w:r w:rsidRPr="005420F1">
        <w:rPr>
          <w:b/>
          <w:color w:val="000000" w:themeColor="text1"/>
          <w:sz w:val="28"/>
          <w:szCs w:val="28"/>
        </w:rPr>
        <w:t>2. Nội dung chính của Nghị quyết:</w:t>
      </w:r>
      <w:r w:rsidRPr="005420F1">
        <w:rPr>
          <w:color w:val="000000" w:themeColor="text1"/>
          <w:sz w:val="28"/>
          <w:szCs w:val="28"/>
        </w:rPr>
        <w:t xml:space="preserve"> Gồm 4 Điều, gồm:</w:t>
      </w:r>
    </w:p>
    <w:p w:rsidR="00192A67" w:rsidRPr="005420F1" w:rsidRDefault="00192A67" w:rsidP="00EC77B3">
      <w:pPr>
        <w:spacing w:before="120" w:after="120" w:line="360" w:lineRule="exact"/>
        <w:ind w:firstLine="709"/>
        <w:jc w:val="both"/>
        <w:rPr>
          <w:i/>
          <w:color w:val="000000" w:themeColor="text1"/>
          <w:sz w:val="28"/>
          <w:szCs w:val="28"/>
        </w:rPr>
      </w:pPr>
      <w:r w:rsidRPr="005420F1">
        <w:rPr>
          <w:b/>
          <w:i/>
          <w:color w:val="000000" w:themeColor="text1"/>
          <w:sz w:val="28"/>
          <w:szCs w:val="28"/>
        </w:rPr>
        <w:t>Điều 1.</w:t>
      </w:r>
      <w:r w:rsidRPr="005420F1">
        <w:rPr>
          <w:i/>
          <w:color w:val="000000" w:themeColor="text1"/>
          <w:sz w:val="28"/>
          <w:szCs w:val="28"/>
        </w:rPr>
        <w:t xml:space="preserve"> </w:t>
      </w:r>
      <w:r w:rsidRPr="005420F1">
        <w:rPr>
          <w:b/>
          <w:i/>
          <w:color w:val="000000" w:themeColor="text1"/>
          <w:sz w:val="28"/>
          <w:szCs w:val="28"/>
        </w:rPr>
        <w:t>Phạm vi điều chỉnh</w:t>
      </w:r>
    </w:p>
    <w:p w:rsidR="00192A67" w:rsidRPr="005420F1" w:rsidRDefault="00192A67" w:rsidP="00EC77B3">
      <w:pPr>
        <w:spacing w:before="120" w:after="120" w:line="360" w:lineRule="exact"/>
        <w:ind w:firstLine="709"/>
        <w:jc w:val="both"/>
        <w:rPr>
          <w:i/>
          <w:color w:val="000000" w:themeColor="text1"/>
          <w:sz w:val="28"/>
          <w:szCs w:val="28"/>
        </w:rPr>
      </w:pPr>
      <w:r w:rsidRPr="005420F1">
        <w:rPr>
          <w:i/>
          <w:color w:val="000000" w:themeColor="text1"/>
          <w:sz w:val="28"/>
          <w:szCs w:val="28"/>
        </w:rPr>
        <w:t>Nghị quyết này quy định đối tượng vay vốn là hộ nghèo tỉnh và các đối tượng chính sách khác được vay vốn từ nguồn vốn ngân sách địa phương ủy thác qua Ngân hàng Chính sách xã hội (ngoài các đối tượng quy định tại Điều 2 Nghị định số 78/2002/NĐ-CP ngày 04/10/2022 của Chính phủ về tín dụng đối với người nghèo và các đối tượng chính sách khác).</w:t>
      </w:r>
    </w:p>
    <w:p w:rsidR="00192A67" w:rsidRPr="005420F1" w:rsidRDefault="00192A67" w:rsidP="00EC77B3">
      <w:pPr>
        <w:spacing w:before="120" w:after="120" w:line="360" w:lineRule="exact"/>
        <w:ind w:firstLine="709"/>
        <w:jc w:val="both"/>
        <w:rPr>
          <w:b/>
          <w:i/>
          <w:color w:val="000000" w:themeColor="text1"/>
          <w:sz w:val="28"/>
          <w:szCs w:val="28"/>
        </w:rPr>
      </w:pPr>
      <w:r w:rsidRPr="005420F1">
        <w:rPr>
          <w:b/>
          <w:i/>
          <w:color w:val="000000" w:themeColor="text1"/>
          <w:sz w:val="28"/>
          <w:szCs w:val="28"/>
        </w:rPr>
        <w:t>Điều 2. Đối tượng áp dụng</w:t>
      </w:r>
    </w:p>
    <w:p w:rsidR="00192A67" w:rsidRPr="005420F1" w:rsidRDefault="00192A67" w:rsidP="00EC77B3">
      <w:pPr>
        <w:spacing w:before="120" w:after="120" w:line="360" w:lineRule="exact"/>
        <w:ind w:firstLine="709"/>
        <w:jc w:val="both"/>
        <w:rPr>
          <w:i/>
          <w:color w:val="000000" w:themeColor="text1"/>
          <w:sz w:val="28"/>
          <w:szCs w:val="28"/>
        </w:rPr>
      </w:pPr>
      <w:r w:rsidRPr="005420F1">
        <w:rPr>
          <w:i/>
          <w:color w:val="000000" w:themeColor="text1"/>
          <w:sz w:val="28"/>
          <w:szCs w:val="28"/>
        </w:rPr>
        <w:t>- Chi nhánh Ngân hàng Chính sách xã hội tỉnh Tây Ninh; Phòng giao dịch Ngân hàng Chính sách xã hội huyện, thị xã.</w:t>
      </w:r>
    </w:p>
    <w:p w:rsidR="00192A67" w:rsidRPr="005420F1" w:rsidRDefault="00192A67" w:rsidP="00EC77B3">
      <w:pPr>
        <w:spacing w:before="120" w:after="120" w:line="360" w:lineRule="exact"/>
        <w:ind w:firstLine="709"/>
        <w:jc w:val="both"/>
        <w:rPr>
          <w:i/>
          <w:color w:val="000000" w:themeColor="text1"/>
          <w:sz w:val="28"/>
          <w:szCs w:val="28"/>
        </w:rPr>
      </w:pPr>
      <w:r w:rsidRPr="005420F1">
        <w:rPr>
          <w:i/>
          <w:color w:val="000000" w:themeColor="text1"/>
          <w:sz w:val="28"/>
          <w:szCs w:val="28"/>
        </w:rPr>
        <w:t>- Ủy ban nhân dân các huyện, thị xã, thành phố; Ủy ban nhân dân các xã, phường, thị trấn.</w:t>
      </w:r>
    </w:p>
    <w:p w:rsidR="00192A67" w:rsidRPr="005420F1" w:rsidRDefault="00192A67" w:rsidP="00EC77B3">
      <w:pPr>
        <w:spacing w:before="120" w:after="120" w:line="360" w:lineRule="exact"/>
        <w:ind w:firstLine="709"/>
        <w:jc w:val="both"/>
        <w:rPr>
          <w:i/>
          <w:color w:val="000000" w:themeColor="text1"/>
          <w:sz w:val="28"/>
          <w:szCs w:val="28"/>
        </w:rPr>
      </w:pPr>
      <w:r w:rsidRPr="005420F1">
        <w:rPr>
          <w:i/>
          <w:color w:val="000000" w:themeColor="text1"/>
          <w:sz w:val="28"/>
          <w:szCs w:val="28"/>
        </w:rPr>
        <w:t>- Các cơ quan có trách nhiệm trong việc quản lý và sử dụng nguồn vốn từ ngân sách địa phương (ngân sách tỉnh, ngân sách huyện, ngân sách thị xã và ngân sách thành phố) ủy thác qua Ngân hàng Chính sách xã hội để cho vay đối với người nghèo và các đối tượng chính sách khác: Cơ quan Tài chính, Cơ quan Lao động – Thương binh và Xã hội, …</w:t>
      </w:r>
    </w:p>
    <w:p w:rsidR="00192A67" w:rsidRPr="005420F1" w:rsidRDefault="00192A67" w:rsidP="00EC77B3">
      <w:pPr>
        <w:spacing w:before="120" w:after="120" w:line="360" w:lineRule="exact"/>
        <w:ind w:firstLine="709"/>
        <w:jc w:val="both"/>
        <w:rPr>
          <w:i/>
          <w:strike/>
          <w:color w:val="000000" w:themeColor="text1"/>
          <w:sz w:val="28"/>
          <w:szCs w:val="28"/>
        </w:rPr>
      </w:pPr>
      <w:r w:rsidRPr="005420F1">
        <w:rPr>
          <w:i/>
          <w:color w:val="000000" w:themeColor="text1"/>
          <w:sz w:val="28"/>
          <w:szCs w:val="28"/>
        </w:rPr>
        <w:t xml:space="preserve">- Các tổ chức - chính trị nhận uỷ thác, Tổ tiết kiệm và vay vốn. </w:t>
      </w:r>
    </w:p>
    <w:p w:rsidR="00192A67" w:rsidRPr="005420F1" w:rsidRDefault="00192A67" w:rsidP="00EC77B3">
      <w:pPr>
        <w:spacing w:before="120" w:after="120" w:line="360" w:lineRule="exact"/>
        <w:ind w:firstLine="709"/>
        <w:jc w:val="both"/>
        <w:rPr>
          <w:b/>
          <w:i/>
          <w:color w:val="000000" w:themeColor="text1"/>
          <w:sz w:val="28"/>
          <w:szCs w:val="28"/>
        </w:rPr>
      </w:pPr>
      <w:r w:rsidRPr="005420F1">
        <w:rPr>
          <w:i/>
          <w:color w:val="000000" w:themeColor="text1"/>
          <w:sz w:val="28"/>
          <w:szCs w:val="28"/>
        </w:rPr>
        <w:t xml:space="preserve">- Cá nhân, hộ gia đình có nhu cầu vay vốn để </w:t>
      </w:r>
      <w:r w:rsidRPr="005420F1">
        <w:rPr>
          <w:rFonts w:eastAsia="Calibri"/>
          <w:i/>
          <w:color w:val="000000" w:themeColor="text1"/>
          <w:spacing w:val="-2"/>
          <w:sz w:val="28"/>
          <w:szCs w:val="28"/>
          <w:lang w:val="nl-NL"/>
        </w:rPr>
        <w:t>sản xuất, kinh doanh, t</w:t>
      </w:r>
      <w:r w:rsidRPr="005420F1">
        <w:rPr>
          <w:i/>
          <w:color w:val="000000" w:themeColor="text1"/>
          <w:sz w:val="28"/>
          <w:szCs w:val="28"/>
        </w:rPr>
        <w:t>ạo việc làm, cải thiện cuộc sống, điều kiện sinh hoạt, góp phần thực hiện mục tiêu xoá đói, giảm nghèo, an sinh xã hội.</w:t>
      </w:r>
    </w:p>
    <w:p w:rsidR="00192A67" w:rsidRPr="005420F1" w:rsidRDefault="00192A67" w:rsidP="00EC77B3">
      <w:pPr>
        <w:spacing w:before="120" w:after="120" w:line="360" w:lineRule="exact"/>
        <w:ind w:firstLine="709"/>
        <w:jc w:val="both"/>
        <w:rPr>
          <w:b/>
          <w:i/>
          <w:color w:val="000000" w:themeColor="text1"/>
          <w:sz w:val="28"/>
          <w:szCs w:val="28"/>
        </w:rPr>
      </w:pPr>
      <w:r w:rsidRPr="005420F1">
        <w:rPr>
          <w:b/>
          <w:i/>
          <w:color w:val="000000" w:themeColor="text1"/>
          <w:sz w:val="28"/>
          <w:szCs w:val="28"/>
        </w:rPr>
        <w:t xml:space="preserve">Điều 3. Đối tượng được vay vốn từ nguồn vốn địa phương ủy thác qua Ngân hàng Chính sách xã hội </w:t>
      </w:r>
    </w:p>
    <w:p w:rsidR="00192A67" w:rsidRPr="005420F1" w:rsidRDefault="00192A67" w:rsidP="00EC77B3">
      <w:pPr>
        <w:spacing w:before="120" w:after="120" w:line="360" w:lineRule="exact"/>
        <w:ind w:firstLine="709"/>
        <w:jc w:val="both"/>
        <w:rPr>
          <w:rFonts w:eastAsia="Calibri"/>
          <w:i/>
          <w:color w:val="000000" w:themeColor="text1"/>
          <w:spacing w:val="-2"/>
          <w:sz w:val="28"/>
          <w:szCs w:val="28"/>
          <w:lang w:val="nl-NL"/>
        </w:rPr>
      </w:pPr>
      <w:r w:rsidRPr="005420F1">
        <w:rPr>
          <w:rFonts w:eastAsia="Calibri"/>
          <w:i/>
          <w:color w:val="000000" w:themeColor="text1"/>
          <w:spacing w:val="-2"/>
          <w:sz w:val="28"/>
          <w:szCs w:val="28"/>
          <w:lang w:val="nl-NL"/>
        </w:rPr>
        <w:t>1. Hộ nghèo tỉnh; hộ mới thoát nghèo tỉnh (thời gian sau khi thoát nghèo không quá 36 tháng) được vay vốn để sản xuất, kinh doanh nâng cao thu nhập cho hộ.</w:t>
      </w:r>
    </w:p>
    <w:p w:rsidR="00192A67" w:rsidRPr="005420F1" w:rsidRDefault="00192A67" w:rsidP="00EC77B3">
      <w:pPr>
        <w:spacing w:before="120" w:after="120" w:line="360" w:lineRule="exact"/>
        <w:ind w:firstLine="709"/>
        <w:jc w:val="both"/>
        <w:rPr>
          <w:rFonts w:eastAsia="Calibri"/>
          <w:i/>
          <w:color w:val="000000" w:themeColor="text1"/>
          <w:spacing w:val="-2"/>
          <w:sz w:val="28"/>
          <w:szCs w:val="28"/>
          <w:lang w:val="nl-NL"/>
        </w:rPr>
      </w:pPr>
      <w:r w:rsidRPr="005420F1">
        <w:rPr>
          <w:rFonts w:eastAsia="Calibri"/>
          <w:i/>
          <w:color w:val="000000" w:themeColor="text1"/>
          <w:spacing w:val="-2"/>
          <w:sz w:val="28"/>
          <w:szCs w:val="28"/>
          <w:lang w:val="nl-NL"/>
        </w:rPr>
        <w:t>2. Hộ làm nông nghiệp, lâm nghiệp, ngư nghiệp có mức sống trung bình được vay vốn để sản xuất, kinh doanh nâng cao thu nhập cho hộ.</w:t>
      </w:r>
    </w:p>
    <w:p w:rsidR="00192A67" w:rsidRPr="005420F1" w:rsidRDefault="00192A67" w:rsidP="00EC77B3">
      <w:pPr>
        <w:spacing w:before="120" w:after="120" w:line="360" w:lineRule="exact"/>
        <w:ind w:firstLine="709"/>
        <w:jc w:val="both"/>
        <w:rPr>
          <w:i/>
          <w:color w:val="000000" w:themeColor="text1"/>
          <w:sz w:val="28"/>
          <w:szCs w:val="28"/>
        </w:rPr>
      </w:pPr>
      <w:r w:rsidRPr="005420F1">
        <w:rPr>
          <w:i/>
          <w:color w:val="000000" w:themeColor="text1"/>
          <w:sz w:val="28"/>
          <w:szCs w:val="28"/>
        </w:rPr>
        <w:t xml:space="preserve">3. </w:t>
      </w:r>
      <w:r w:rsidRPr="005420F1">
        <w:rPr>
          <w:i/>
          <w:color w:val="000000" w:themeColor="text1"/>
          <w:sz w:val="28"/>
          <w:szCs w:val="28"/>
          <w:lang w:val="vi-VN"/>
        </w:rPr>
        <w:t xml:space="preserve">Hộ </w:t>
      </w:r>
      <w:r w:rsidRPr="005420F1">
        <w:rPr>
          <w:i/>
          <w:color w:val="000000" w:themeColor="text1"/>
          <w:sz w:val="28"/>
          <w:szCs w:val="28"/>
        </w:rPr>
        <w:t xml:space="preserve">gia đình cư trú hợp pháp tại khu vực đô thị </w:t>
      </w:r>
      <w:r w:rsidRPr="005420F1">
        <w:rPr>
          <w:i/>
          <w:color w:val="000000" w:themeColor="text1"/>
          <w:sz w:val="28"/>
          <w:szCs w:val="28"/>
          <w:lang w:val="vi-VN"/>
        </w:rPr>
        <w:t>chưa có công trình </w:t>
      </w:r>
      <w:r w:rsidRPr="005420F1">
        <w:rPr>
          <w:i/>
          <w:color w:val="000000" w:themeColor="text1"/>
          <w:sz w:val="28"/>
          <w:szCs w:val="28"/>
        </w:rPr>
        <w:t>nước sạch, công trình vệ sinh hoặc đã có nhưng </w:t>
      </w:r>
      <w:r w:rsidRPr="005420F1">
        <w:rPr>
          <w:i/>
          <w:color w:val="000000" w:themeColor="text1"/>
          <w:sz w:val="28"/>
          <w:szCs w:val="28"/>
          <w:lang w:val="vi-VN"/>
        </w:rPr>
        <w:t>chưa đạt tiêu chuẩn quốc gia về </w:t>
      </w:r>
      <w:r w:rsidRPr="005420F1">
        <w:rPr>
          <w:i/>
          <w:color w:val="000000" w:themeColor="text1"/>
          <w:sz w:val="28"/>
          <w:szCs w:val="28"/>
        </w:rPr>
        <w:t xml:space="preserve">nước sạch và chưa đảm bảo vệ sinh môi trường được vay vốn để </w:t>
      </w:r>
      <w:r w:rsidRPr="005420F1">
        <w:rPr>
          <w:i/>
          <w:color w:val="000000" w:themeColor="text1"/>
          <w:sz w:val="28"/>
          <w:szCs w:val="28"/>
          <w:lang w:val="vi-VN"/>
        </w:rPr>
        <w:t>xây dựng</w:t>
      </w:r>
      <w:r w:rsidRPr="005420F1">
        <w:rPr>
          <w:i/>
          <w:color w:val="000000" w:themeColor="text1"/>
          <w:sz w:val="28"/>
          <w:szCs w:val="28"/>
        </w:rPr>
        <w:t xml:space="preserve"> mới hoặc cải tạo, nâng cấp</w:t>
      </w:r>
      <w:r w:rsidRPr="005420F1">
        <w:rPr>
          <w:i/>
          <w:color w:val="000000" w:themeColor="text1"/>
          <w:sz w:val="28"/>
          <w:szCs w:val="28"/>
          <w:lang w:val="vi-VN"/>
        </w:rPr>
        <w:t xml:space="preserve"> các công trình nước sạch và vệ sinh môi trường</w:t>
      </w:r>
      <w:r w:rsidRPr="005420F1">
        <w:rPr>
          <w:i/>
          <w:color w:val="000000" w:themeColor="text1"/>
          <w:sz w:val="28"/>
          <w:szCs w:val="28"/>
        </w:rPr>
        <w:t xml:space="preserve"> </w:t>
      </w:r>
      <w:r w:rsidRPr="005420F1">
        <w:rPr>
          <w:i/>
          <w:color w:val="000000" w:themeColor="text1"/>
          <w:sz w:val="28"/>
          <w:szCs w:val="28"/>
          <w:lang w:val="vi-VN"/>
        </w:rPr>
        <w:t>nhằm nâng cao sức khỏe, cải thiện điều kiện sinh hoạt</w:t>
      </w:r>
      <w:r w:rsidRPr="005420F1">
        <w:rPr>
          <w:i/>
          <w:color w:val="000000" w:themeColor="text1"/>
          <w:sz w:val="28"/>
          <w:szCs w:val="28"/>
        </w:rPr>
        <w:t>.</w:t>
      </w:r>
    </w:p>
    <w:p w:rsidR="00192A67" w:rsidRPr="005420F1" w:rsidRDefault="00192A67" w:rsidP="00EC77B3">
      <w:pPr>
        <w:spacing w:before="120" w:after="120" w:line="360" w:lineRule="exact"/>
        <w:ind w:firstLine="709"/>
        <w:jc w:val="both"/>
        <w:rPr>
          <w:bCs/>
          <w:i/>
          <w:iCs/>
          <w:color w:val="000000" w:themeColor="text1"/>
          <w:spacing w:val="-4"/>
          <w:sz w:val="28"/>
          <w:szCs w:val="28"/>
        </w:rPr>
      </w:pPr>
      <w:r w:rsidRPr="005420F1">
        <w:rPr>
          <w:i/>
          <w:color w:val="000000" w:themeColor="text1"/>
          <w:sz w:val="28"/>
          <w:szCs w:val="28"/>
        </w:rPr>
        <w:t xml:space="preserve">4. </w:t>
      </w:r>
      <w:r w:rsidRPr="005420F1">
        <w:rPr>
          <w:bCs/>
          <w:i/>
          <w:iCs/>
          <w:color w:val="000000" w:themeColor="text1"/>
          <w:spacing w:val="-4"/>
          <w:sz w:val="28"/>
          <w:szCs w:val="28"/>
        </w:rPr>
        <w:t>Thanh niên hoàn thành nghĩa vụ quân sự, nghĩa vụ công an, thanh niên tình nguyện hoàn thành nghĩa vụ thực hiện theo chương trình, dự án phát triển kinh tế - xã hội (đối tượng được hỗ trợ học nghề) thời gian sau khi hoàn thành nghĩa vụ không quá 36 tháng được vay vốn để giải quyết việc làm.</w:t>
      </w:r>
    </w:p>
    <w:p w:rsidR="00192A67" w:rsidRPr="005420F1" w:rsidRDefault="00192A67" w:rsidP="00EC77B3">
      <w:pPr>
        <w:spacing w:before="120" w:after="120" w:line="360" w:lineRule="exact"/>
        <w:ind w:firstLine="709"/>
        <w:jc w:val="both"/>
        <w:rPr>
          <w:bCs/>
          <w:i/>
          <w:iCs/>
          <w:color w:val="000000" w:themeColor="text1"/>
          <w:spacing w:val="-4"/>
          <w:sz w:val="28"/>
          <w:szCs w:val="28"/>
        </w:rPr>
      </w:pPr>
      <w:r w:rsidRPr="005420F1">
        <w:rPr>
          <w:bCs/>
          <w:i/>
          <w:iCs/>
          <w:color w:val="000000" w:themeColor="text1"/>
          <w:spacing w:val="-4"/>
          <w:sz w:val="28"/>
          <w:szCs w:val="28"/>
        </w:rPr>
        <w:t>5. Người lao động đi làm việc ở nước ngoài được vay vốn để ký quỹ tại NHCSXH; Người lao động thuộc 20 xã biên giới được vay vốn để chi trả các khoản chi phí đi làm việc ở nước ngoài được ghi trong Hợp đồng đưa người lao động đi làm việc ở nước ngoài.</w:t>
      </w:r>
    </w:p>
    <w:p w:rsidR="00192A67" w:rsidRPr="005420F1" w:rsidRDefault="00192A67" w:rsidP="00EC77B3">
      <w:pPr>
        <w:spacing w:before="120" w:after="120" w:line="360" w:lineRule="exact"/>
        <w:ind w:firstLine="709"/>
        <w:jc w:val="both"/>
        <w:rPr>
          <w:b/>
          <w:i/>
          <w:color w:val="000000" w:themeColor="text1"/>
          <w:sz w:val="28"/>
          <w:szCs w:val="28"/>
        </w:rPr>
      </w:pPr>
      <w:r w:rsidRPr="005420F1">
        <w:rPr>
          <w:b/>
          <w:i/>
          <w:color w:val="000000" w:themeColor="text1"/>
          <w:sz w:val="28"/>
          <w:szCs w:val="28"/>
        </w:rPr>
        <w:t>Điều 4. Tổ chức thực hiện</w:t>
      </w:r>
    </w:p>
    <w:p w:rsidR="00192A67" w:rsidRPr="005420F1" w:rsidRDefault="00192A67" w:rsidP="00EC77B3">
      <w:pPr>
        <w:spacing w:before="120" w:after="120" w:line="360" w:lineRule="exact"/>
        <w:ind w:firstLine="709"/>
        <w:jc w:val="both"/>
        <w:rPr>
          <w:i/>
          <w:color w:val="000000" w:themeColor="text1"/>
          <w:sz w:val="28"/>
          <w:szCs w:val="28"/>
        </w:rPr>
      </w:pPr>
      <w:r w:rsidRPr="005420F1">
        <w:rPr>
          <w:i/>
          <w:color w:val="000000" w:themeColor="text1"/>
          <w:sz w:val="28"/>
          <w:szCs w:val="28"/>
        </w:rPr>
        <w:t>1. Giao UBND tỉnh tổ chức triển khai Nghị quyết này.</w:t>
      </w:r>
    </w:p>
    <w:p w:rsidR="00192A67" w:rsidRPr="005420F1" w:rsidRDefault="00192A67" w:rsidP="00EC77B3">
      <w:pPr>
        <w:spacing w:before="120" w:after="120" w:line="360" w:lineRule="exact"/>
        <w:ind w:firstLine="709"/>
        <w:jc w:val="both"/>
        <w:rPr>
          <w:i/>
          <w:color w:val="000000" w:themeColor="text1"/>
          <w:sz w:val="28"/>
          <w:szCs w:val="28"/>
        </w:rPr>
      </w:pPr>
      <w:r w:rsidRPr="005420F1">
        <w:rPr>
          <w:i/>
          <w:color w:val="000000" w:themeColor="text1"/>
          <w:sz w:val="28"/>
          <w:szCs w:val="28"/>
        </w:rPr>
        <w:t>2. Trong quá trình thực hiện, các văn bản viện dẫn để áp dụng tại Nghị quyết này được sửa đổi, bổ sung hoặc thay thế thì áp dụng theo văn bản được sửa đổi, bổ sung hoặc thay thế.</w:t>
      </w:r>
    </w:p>
    <w:p w:rsidR="00192A67" w:rsidRPr="005420F1" w:rsidRDefault="00192A67" w:rsidP="00EC77B3">
      <w:pPr>
        <w:spacing w:before="120" w:after="120" w:line="360" w:lineRule="exact"/>
        <w:ind w:firstLine="709"/>
        <w:jc w:val="both"/>
        <w:rPr>
          <w:i/>
          <w:color w:val="000000" w:themeColor="text1"/>
          <w:sz w:val="28"/>
          <w:szCs w:val="28"/>
        </w:rPr>
      </w:pPr>
      <w:r w:rsidRPr="005420F1">
        <w:rPr>
          <w:i/>
          <w:color w:val="000000" w:themeColor="text1"/>
          <w:sz w:val="28"/>
          <w:szCs w:val="28"/>
        </w:rPr>
        <w:t>3. Thường trực Hội đồng nhân dân tỉnh, các Ban của Hội đồng nhân dân tỉnh, Tổ Đại biểu Hội đồng nhân dân tỉnh và đại biểu Hội đồng nhân dân tỉnh giám sát quá trình thực hiện Nghị quyết theo quy định pháp luật.</w:t>
      </w:r>
    </w:p>
    <w:p w:rsidR="00192A67" w:rsidRPr="005420F1" w:rsidRDefault="00192A67" w:rsidP="00EC77B3">
      <w:pPr>
        <w:spacing w:before="120" w:after="120" w:line="360" w:lineRule="exact"/>
        <w:ind w:firstLine="709"/>
        <w:jc w:val="both"/>
        <w:rPr>
          <w:b/>
          <w:bCs/>
          <w:color w:val="000000" w:themeColor="text1"/>
          <w:sz w:val="28"/>
          <w:szCs w:val="28"/>
        </w:rPr>
      </w:pPr>
      <w:r w:rsidRPr="005420F1">
        <w:rPr>
          <w:b/>
          <w:bCs/>
          <w:color w:val="000000" w:themeColor="text1"/>
          <w:sz w:val="28"/>
          <w:szCs w:val="28"/>
        </w:rPr>
        <w:t>V. DỰ KIẾN NGUỒN LỰC, ĐIỀU KIỆN BẢO ĐẢM CHO VIỆC THI HÀNH NGHỊ QUYẾT SAU KHI ĐƯỢC THÔNG QUA</w:t>
      </w:r>
    </w:p>
    <w:p w:rsidR="00192A67" w:rsidRPr="005420F1" w:rsidRDefault="00192A67" w:rsidP="00EC77B3">
      <w:pPr>
        <w:spacing w:before="120" w:after="120" w:line="360" w:lineRule="exact"/>
        <w:ind w:firstLine="709"/>
        <w:jc w:val="both"/>
        <w:rPr>
          <w:i/>
          <w:color w:val="000000" w:themeColor="text1"/>
          <w:sz w:val="28"/>
          <w:szCs w:val="28"/>
        </w:rPr>
      </w:pPr>
      <w:r w:rsidRPr="005420F1">
        <w:rPr>
          <w:color w:val="000000" w:themeColor="text1"/>
          <w:sz w:val="28"/>
          <w:szCs w:val="28"/>
        </w:rPr>
        <w:t>1. Nguồn lực thực hiện là nguồn ngân sách địa phương theo quy định của pháp luật.</w:t>
      </w:r>
    </w:p>
    <w:p w:rsidR="00192A67" w:rsidRPr="005420F1" w:rsidRDefault="00192A67" w:rsidP="00EC77B3">
      <w:pPr>
        <w:spacing w:before="120" w:after="120" w:line="360" w:lineRule="exact"/>
        <w:ind w:firstLine="709"/>
        <w:jc w:val="both"/>
        <w:rPr>
          <w:b/>
          <w:color w:val="000000" w:themeColor="text1"/>
          <w:sz w:val="28"/>
          <w:szCs w:val="28"/>
        </w:rPr>
      </w:pPr>
      <w:r w:rsidRPr="005420F1">
        <w:rPr>
          <w:color w:val="000000" w:themeColor="text1"/>
          <w:sz w:val="28"/>
          <w:szCs w:val="28"/>
        </w:rPr>
        <w:t>2. Nhân lực đảm bảo thi hành Nghị quyết là UBND tỉnh; Các sở, ban, ngành tỉnh, Ủy ban Mặt trận Tổ quốc Việt Nam tỉnh, các Tổ chức chính trị - xã hội, UBND các huyện, thị xã, thành phố và các đơn vị, tổ chức, hộ gia đình và cá nhân vay vốn từ nguồn vốn ngân sách địa phương ủy thác qua Ngân hàng Chính sách xã hội trên địa bàn tỉnh Tây Ninh.</w:t>
      </w:r>
      <w:r w:rsidR="00EC77B3" w:rsidRPr="005420F1">
        <w:rPr>
          <w:color w:val="000000" w:themeColor="text1"/>
          <w:sz w:val="28"/>
          <w:szCs w:val="28"/>
        </w:rPr>
        <w:t>/.</w:t>
      </w:r>
      <w:r w:rsidRPr="005420F1">
        <w:rPr>
          <w:b/>
          <w:color w:val="000000" w:themeColor="text1"/>
          <w:sz w:val="28"/>
          <w:szCs w:val="28"/>
        </w:rPr>
        <w:t xml:space="preserve"> </w:t>
      </w:r>
    </w:p>
    <w:sectPr w:rsidR="00192A67" w:rsidRPr="005420F1" w:rsidSect="001A5AD5">
      <w:headerReference w:type="even" r:id="rId7"/>
      <w:headerReference w:type="default" r:id="rId8"/>
      <w:footerReference w:type="even" r:id="rId9"/>
      <w:footerReference w:type="default" r:id="rId10"/>
      <w:headerReference w:type="first" r:id="rId11"/>
      <w:footerReference w:type="first" r:id="rId12"/>
      <w:pgSz w:w="12240" w:h="15840"/>
      <w:pgMar w:top="990" w:right="1080" w:bottom="9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A75" w:rsidRDefault="005E1A75" w:rsidP="00845416">
      <w:r>
        <w:separator/>
      </w:r>
    </w:p>
  </w:endnote>
  <w:endnote w:type="continuationSeparator" w:id="0">
    <w:p w:rsidR="005E1A75" w:rsidRDefault="005E1A75" w:rsidP="0084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416" w:rsidRDefault="0084541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306371"/>
      <w:docPartObj>
        <w:docPartGallery w:val="Page Numbers (Bottom of Page)"/>
        <w:docPartUnique/>
      </w:docPartObj>
    </w:sdtPr>
    <w:sdtEndPr>
      <w:rPr>
        <w:noProof/>
      </w:rPr>
    </w:sdtEndPr>
    <w:sdtContent>
      <w:p w:rsidR="00845416" w:rsidRDefault="00845416">
        <w:pPr>
          <w:pStyle w:val="Footer"/>
          <w:jc w:val="right"/>
        </w:pPr>
        <w:r>
          <w:fldChar w:fldCharType="begin"/>
        </w:r>
        <w:r>
          <w:instrText xml:space="preserve"> PAGE   \* MERGEFORMAT </w:instrText>
        </w:r>
        <w:r>
          <w:fldChar w:fldCharType="separate"/>
        </w:r>
        <w:r w:rsidR="005E1A75">
          <w:rPr>
            <w:noProof/>
          </w:rPr>
          <w:t>1</w:t>
        </w:r>
        <w:r>
          <w:rPr>
            <w:noProof/>
          </w:rPr>
          <w:fldChar w:fldCharType="end"/>
        </w:r>
      </w:p>
    </w:sdtContent>
  </w:sdt>
  <w:p w:rsidR="00845416" w:rsidRDefault="0084541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416" w:rsidRDefault="008454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A75" w:rsidRDefault="005E1A75" w:rsidP="00845416">
      <w:r>
        <w:separator/>
      </w:r>
    </w:p>
  </w:footnote>
  <w:footnote w:type="continuationSeparator" w:id="0">
    <w:p w:rsidR="005E1A75" w:rsidRDefault="005E1A75" w:rsidP="008454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416" w:rsidRDefault="0084541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416" w:rsidRDefault="0084541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416" w:rsidRDefault="008454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1E52"/>
    <w:multiLevelType w:val="hybridMultilevel"/>
    <w:tmpl w:val="1D26B536"/>
    <w:lvl w:ilvl="0" w:tplc="E28E0D6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8CD5AA2"/>
    <w:multiLevelType w:val="hybridMultilevel"/>
    <w:tmpl w:val="4DAC1E0E"/>
    <w:lvl w:ilvl="0" w:tplc="76EA8FBA">
      <w:start w:val="4"/>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95E5DA1"/>
    <w:multiLevelType w:val="hybridMultilevel"/>
    <w:tmpl w:val="AB4852E6"/>
    <w:lvl w:ilvl="0" w:tplc="AC2CA17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9419DB"/>
    <w:multiLevelType w:val="hybridMultilevel"/>
    <w:tmpl w:val="D70A1BD0"/>
    <w:lvl w:ilvl="0" w:tplc="CE68234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FA50A4"/>
    <w:multiLevelType w:val="hybridMultilevel"/>
    <w:tmpl w:val="E9B8E97A"/>
    <w:lvl w:ilvl="0" w:tplc="C6482BE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8C5FB6"/>
    <w:multiLevelType w:val="hybridMultilevel"/>
    <w:tmpl w:val="8D9AB664"/>
    <w:lvl w:ilvl="0" w:tplc="305C9D78">
      <w:start w:val="1"/>
      <w:numFmt w:val="upperRoman"/>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15:restartNumberingAfterBreak="0">
    <w:nsid w:val="6C01302A"/>
    <w:multiLevelType w:val="hybridMultilevel"/>
    <w:tmpl w:val="D966C742"/>
    <w:lvl w:ilvl="0" w:tplc="15547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151EC6"/>
    <w:multiLevelType w:val="hybridMultilevel"/>
    <w:tmpl w:val="00B440AC"/>
    <w:lvl w:ilvl="0" w:tplc="E6BEA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6"/>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3E"/>
    <w:rsid w:val="00003CE1"/>
    <w:rsid w:val="0001047E"/>
    <w:rsid w:val="00015F8A"/>
    <w:rsid w:val="000162FE"/>
    <w:rsid w:val="000166A0"/>
    <w:rsid w:val="00016762"/>
    <w:rsid w:val="0002308C"/>
    <w:rsid w:val="000239FE"/>
    <w:rsid w:val="0003253A"/>
    <w:rsid w:val="00032DF0"/>
    <w:rsid w:val="00035F39"/>
    <w:rsid w:val="00043226"/>
    <w:rsid w:val="000435FC"/>
    <w:rsid w:val="00043D00"/>
    <w:rsid w:val="00061212"/>
    <w:rsid w:val="00062785"/>
    <w:rsid w:val="0006614E"/>
    <w:rsid w:val="0007299E"/>
    <w:rsid w:val="00072EA7"/>
    <w:rsid w:val="00074909"/>
    <w:rsid w:val="0008329E"/>
    <w:rsid w:val="0009462B"/>
    <w:rsid w:val="00096223"/>
    <w:rsid w:val="000964CD"/>
    <w:rsid w:val="000A022F"/>
    <w:rsid w:val="000A1349"/>
    <w:rsid w:val="000A2244"/>
    <w:rsid w:val="000A2754"/>
    <w:rsid w:val="000A37D6"/>
    <w:rsid w:val="000A3915"/>
    <w:rsid w:val="000B0B8D"/>
    <w:rsid w:val="000B23D7"/>
    <w:rsid w:val="000B71DB"/>
    <w:rsid w:val="000C12A8"/>
    <w:rsid w:val="000C3D07"/>
    <w:rsid w:val="000C3E4B"/>
    <w:rsid w:val="000C50DD"/>
    <w:rsid w:val="000C6BA7"/>
    <w:rsid w:val="000D24DC"/>
    <w:rsid w:val="000E4681"/>
    <w:rsid w:val="000E487A"/>
    <w:rsid w:val="000F3221"/>
    <w:rsid w:val="000F5712"/>
    <w:rsid w:val="001026CD"/>
    <w:rsid w:val="0010658B"/>
    <w:rsid w:val="00111336"/>
    <w:rsid w:val="00125DAE"/>
    <w:rsid w:val="00134620"/>
    <w:rsid w:val="00147523"/>
    <w:rsid w:val="00151812"/>
    <w:rsid w:val="0015310A"/>
    <w:rsid w:val="00162B56"/>
    <w:rsid w:val="0016697F"/>
    <w:rsid w:val="00176B2D"/>
    <w:rsid w:val="00181490"/>
    <w:rsid w:val="0018500C"/>
    <w:rsid w:val="00192A67"/>
    <w:rsid w:val="001A05A3"/>
    <w:rsid w:val="001A2578"/>
    <w:rsid w:val="001A36BE"/>
    <w:rsid w:val="001A5AD5"/>
    <w:rsid w:val="001A640F"/>
    <w:rsid w:val="001A7337"/>
    <w:rsid w:val="001C03B4"/>
    <w:rsid w:val="001C6403"/>
    <w:rsid w:val="001D3133"/>
    <w:rsid w:val="001D4C44"/>
    <w:rsid w:val="001D64A4"/>
    <w:rsid w:val="001E6338"/>
    <w:rsid w:val="001E71FF"/>
    <w:rsid w:val="001E7B29"/>
    <w:rsid w:val="001F4F77"/>
    <w:rsid w:val="001F60E9"/>
    <w:rsid w:val="001F6EDE"/>
    <w:rsid w:val="00200763"/>
    <w:rsid w:val="00214B43"/>
    <w:rsid w:val="00223E42"/>
    <w:rsid w:val="0022503C"/>
    <w:rsid w:val="00231C11"/>
    <w:rsid w:val="00240F05"/>
    <w:rsid w:val="00250B3C"/>
    <w:rsid w:val="00253B80"/>
    <w:rsid w:val="002646FF"/>
    <w:rsid w:val="00265AAA"/>
    <w:rsid w:val="00281156"/>
    <w:rsid w:val="0028160D"/>
    <w:rsid w:val="00282A8C"/>
    <w:rsid w:val="00283B30"/>
    <w:rsid w:val="0028489D"/>
    <w:rsid w:val="00292B8E"/>
    <w:rsid w:val="0029351B"/>
    <w:rsid w:val="00297AF8"/>
    <w:rsid w:val="002A308A"/>
    <w:rsid w:val="002A744E"/>
    <w:rsid w:val="002C11F8"/>
    <w:rsid w:val="002C3C2D"/>
    <w:rsid w:val="002C5786"/>
    <w:rsid w:val="002C753E"/>
    <w:rsid w:val="002D1448"/>
    <w:rsid w:val="002D7F98"/>
    <w:rsid w:val="002E72A4"/>
    <w:rsid w:val="002F7F0A"/>
    <w:rsid w:val="00303F4B"/>
    <w:rsid w:val="0030680E"/>
    <w:rsid w:val="00310837"/>
    <w:rsid w:val="00311487"/>
    <w:rsid w:val="00312749"/>
    <w:rsid w:val="00315863"/>
    <w:rsid w:val="0031792F"/>
    <w:rsid w:val="00331A3A"/>
    <w:rsid w:val="0033547C"/>
    <w:rsid w:val="003403EF"/>
    <w:rsid w:val="003438DB"/>
    <w:rsid w:val="00345E5E"/>
    <w:rsid w:val="003478C2"/>
    <w:rsid w:val="0035422D"/>
    <w:rsid w:val="0036457F"/>
    <w:rsid w:val="003650D4"/>
    <w:rsid w:val="003650EA"/>
    <w:rsid w:val="00376058"/>
    <w:rsid w:val="003802B7"/>
    <w:rsid w:val="00380FD7"/>
    <w:rsid w:val="00384674"/>
    <w:rsid w:val="003873B5"/>
    <w:rsid w:val="003A3D02"/>
    <w:rsid w:val="003A7CBA"/>
    <w:rsid w:val="003B4E79"/>
    <w:rsid w:val="003B5BAB"/>
    <w:rsid w:val="003B63D4"/>
    <w:rsid w:val="003C2CB6"/>
    <w:rsid w:val="003C48D5"/>
    <w:rsid w:val="003C4B3A"/>
    <w:rsid w:val="003E2240"/>
    <w:rsid w:val="003E2A66"/>
    <w:rsid w:val="003F78EC"/>
    <w:rsid w:val="00400A7B"/>
    <w:rsid w:val="004027EB"/>
    <w:rsid w:val="004075C3"/>
    <w:rsid w:val="0043646D"/>
    <w:rsid w:val="00441D7B"/>
    <w:rsid w:val="00467A47"/>
    <w:rsid w:val="00467B27"/>
    <w:rsid w:val="00480766"/>
    <w:rsid w:val="00484901"/>
    <w:rsid w:val="00494640"/>
    <w:rsid w:val="004968A7"/>
    <w:rsid w:val="00497555"/>
    <w:rsid w:val="004A2004"/>
    <w:rsid w:val="004A6058"/>
    <w:rsid w:val="004B52C0"/>
    <w:rsid w:val="004C5AAC"/>
    <w:rsid w:val="004D0755"/>
    <w:rsid w:val="004D3724"/>
    <w:rsid w:val="004E0D1A"/>
    <w:rsid w:val="004E693D"/>
    <w:rsid w:val="004F1F44"/>
    <w:rsid w:val="004F4409"/>
    <w:rsid w:val="005013F8"/>
    <w:rsid w:val="005023AE"/>
    <w:rsid w:val="00502F79"/>
    <w:rsid w:val="00504972"/>
    <w:rsid w:val="005058D4"/>
    <w:rsid w:val="0050719C"/>
    <w:rsid w:val="0051007C"/>
    <w:rsid w:val="00520318"/>
    <w:rsid w:val="00522BB6"/>
    <w:rsid w:val="0052609C"/>
    <w:rsid w:val="005420F1"/>
    <w:rsid w:val="00553D62"/>
    <w:rsid w:val="00554D28"/>
    <w:rsid w:val="00563C86"/>
    <w:rsid w:val="0057033D"/>
    <w:rsid w:val="00571700"/>
    <w:rsid w:val="00571FC0"/>
    <w:rsid w:val="00574766"/>
    <w:rsid w:val="00580346"/>
    <w:rsid w:val="00580B52"/>
    <w:rsid w:val="00583345"/>
    <w:rsid w:val="0059430F"/>
    <w:rsid w:val="00597F2A"/>
    <w:rsid w:val="005A37D0"/>
    <w:rsid w:val="005A5A92"/>
    <w:rsid w:val="005A777C"/>
    <w:rsid w:val="005B7B92"/>
    <w:rsid w:val="005C6D57"/>
    <w:rsid w:val="005C7B6E"/>
    <w:rsid w:val="005C7DB2"/>
    <w:rsid w:val="005D2A9C"/>
    <w:rsid w:val="005D6EC1"/>
    <w:rsid w:val="005D7CDE"/>
    <w:rsid w:val="005E091F"/>
    <w:rsid w:val="005E1A75"/>
    <w:rsid w:val="005E29BC"/>
    <w:rsid w:val="005E5480"/>
    <w:rsid w:val="005F095B"/>
    <w:rsid w:val="005F0C9A"/>
    <w:rsid w:val="005F1A68"/>
    <w:rsid w:val="00611D32"/>
    <w:rsid w:val="0061203C"/>
    <w:rsid w:val="00616C77"/>
    <w:rsid w:val="00623BF8"/>
    <w:rsid w:val="006246F6"/>
    <w:rsid w:val="0062617E"/>
    <w:rsid w:val="00626421"/>
    <w:rsid w:val="00640DFF"/>
    <w:rsid w:val="00651A35"/>
    <w:rsid w:val="006521F1"/>
    <w:rsid w:val="00657A3E"/>
    <w:rsid w:val="006628C1"/>
    <w:rsid w:val="00676E18"/>
    <w:rsid w:val="006813C1"/>
    <w:rsid w:val="006819B3"/>
    <w:rsid w:val="00684073"/>
    <w:rsid w:val="006849FC"/>
    <w:rsid w:val="00686752"/>
    <w:rsid w:val="00687C05"/>
    <w:rsid w:val="0069334B"/>
    <w:rsid w:val="006A6681"/>
    <w:rsid w:val="006B16DD"/>
    <w:rsid w:val="006B63FC"/>
    <w:rsid w:val="006B6E28"/>
    <w:rsid w:val="006C0BCE"/>
    <w:rsid w:val="006C0D30"/>
    <w:rsid w:val="006C1447"/>
    <w:rsid w:val="006C7762"/>
    <w:rsid w:val="006D1003"/>
    <w:rsid w:val="006D16C6"/>
    <w:rsid w:val="006F5B46"/>
    <w:rsid w:val="006F7F67"/>
    <w:rsid w:val="007125CE"/>
    <w:rsid w:val="00712BAB"/>
    <w:rsid w:val="00714477"/>
    <w:rsid w:val="007247B0"/>
    <w:rsid w:val="007334BD"/>
    <w:rsid w:val="00734F5F"/>
    <w:rsid w:val="00742F93"/>
    <w:rsid w:val="00744D0C"/>
    <w:rsid w:val="00752236"/>
    <w:rsid w:val="00753992"/>
    <w:rsid w:val="00755F55"/>
    <w:rsid w:val="00761B64"/>
    <w:rsid w:val="00762963"/>
    <w:rsid w:val="007639E1"/>
    <w:rsid w:val="007706A4"/>
    <w:rsid w:val="007830C8"/>
    <w:rsid w:val="00783AA3"/>
    <w:rsid w:val="00793300"/>
    <w:rsid w:val="00793870"/>
    <w:rsid w:val="007959A9"/>
    <w:rsid w:val="00797526"/>
    <w:rsid w:val="00797FB2"/>
    <w:rsid w:val="007A32C5"/>
    <w:rsid w:val="007A57D7"/>
    <w:rsid w:val="007A7338"/>
    <w:rsid w:val="007A7FBF"/>
    <w:rsid w:val="007B003D"/>
    <w:rsid w:val="007C2192"/>
    <w:rsid w:val="007C33DD"/>
    <w:rsid w:val="007C677E"/>
    <w:rsid w:val="007E1594"/>
    <w:rsid w:val="007E17AB"/>
    <w:rsid w:val="007E6A44"/>
    <w:rsid w:val="007F420E"/>
    <w:rsid w:val="007F4C20"/>
    <w:rsid w:val="008136A7"/>
    <w:rsid w:val="00814B46"/>
    <w:rsid w:val="0082444D"/>
    <w:rsid w:val="008270C9"/>
    <w:rsid w:val="00827C64"/>
    <w:rsid w:val="0083041B"/>
    <w:rsid w:val="008355D0"/>
    <w:rsid w:val="00840345"/>
    <w:rsid w:val="00841FAD"/>
    <w:rsid w:val="00845416"/>
    <w:rsid w:val="00856F2F"/>
    <w:rsid w:val="00870473"/>
    <w:rsid w:val="008704F6"/>
    <w:rsid w:val="00870563"/>
    <w:rsid w:val="00871B4C"/>
    <w:rsid w:val="0087400B"/>
    <w:rsid w:val="00876860"/>
    <w:rsid w:val="00876B37"/>
    <w:rsid w:val="008A138A"/>
    <w:rsid w:val="008A1718"/>
    <w:rsid w:val="008B0340"/>
    <w:rsid w:val="008B5C47"/>
    <w:rsid w:val="008C4597"/>
    <w:rsid w:val="008C564F"/>
    <w:rsid w:val="008D2A37"/>
    <w:rsid w:val="008E2DC3"/>
    <w:rsid w:val="008F5AD5"/>
    <w:rsid w:val="008F6092"/>
    <w:rsid w:val="008F7B70"/>
    <w:rsid w:val="00905F98"/>
    <w:rsid w:val="00910DC3"/>
    <w:rsid w:val="00912E21"/>
    <w:rsid w:val="00921F24"/>
    <w:rsid w:val="00932EB6"/>
    <w:rsid w:val="009366BE"/>
    <w:rsid w:val="00936E6A"/>
    <w:rsid w:val="009409A7"/>
    <w:rsid w:val="00942082"/>
    <w:rsid w:val="00952E5A"/>
    <w:rsid w:val="009558CF"/>
    <w:rsid w:val="0095718C"/>
    <w:rsid w:val="00957B28"/>
    <w:rsid w:val="009804F7"/>
    <w:rsid w:val="00983F95"/>
    <w:rsid w:val="0099194E"/>
    <w:rsid w:val="00992793"/>
    <w:rsid w:val="009A7C97"/>
    <w:rsid w:val="009B06FD"/>
    <w:rsid w:val="009B2238"/>
    <w:rsid w:val="009C0160"/>
    <w:rsid w:val="009D03FF"/>
    <w:rsid w:val="009E29E7"/>
    <w:rsid w:val="009F16EE"/>
    <w:rsid w:val="009F2E04"/>
    <w:rsid w:val="009F4928"/>
    <w:rsid w:val="009F6C67"/>
    <w:rsid w:val="00A04333"/>
    <w:rsid w:val="00A14BB1"/>
    <w:rsid w:val="00A20349"/>
    <w:rsid w:val="00A30836"/>
    <w:rsid w:val="00A32155"/>
    <w:rsid w:val="00A36ED4"/>
    <w:rsid w:val="00A377AB"/>
    <w:rsid w:val="00A418EE"/>
    <w:rsid w:val="00A4221D"/>
    <w:rsid w:val="00A42314"/>
    <w:rsid w:val="00A62F3B"/>
    <w:rsid w:val="00A84EB9"/>
    <w:rsid w:val="00A90B66"/>
    <w:rsid w:val="00A90FE3"/>
    <w:rsid w:val="00A933C7"/>
    <w:rsid w:val="00A93862"/>
    <w:rsid w:val="00A93879"/>
    <w:rsid w:val="00A9521B"/>
    <w:rsid w:val="00A962F3"/>
    <w:rsid w:val="00AA7F19"/>
    <w:rsid w:val="00AB1D41"/>
    <w:rsid w:val="00AB46D8"/>
    <w:rsid w:val="00AB6D87"/>
    <w:rsid w:val="00AC13C5"/>
    <w:rsid w:val="00AC6237"/>
    <w:rsid w:val="00AC7536"/>
    <w:rsid w:val="00AD0C0D"/>
    <w:rsid w:val="00AD1A78"/>
    <w:rsid w:val="00AD35B6"/>
    <w:rsid w:val="00AD408F"/>
    <w:rsid w:val="00AD4D3A"/>
    <w:rsid w:val="00AD5454"/>
    <w:rsid w:val="00AE25E8"/>
    <w:rsid w:val="00B00FCA"/>
    <w:rsid w:val="00B12497"/>
    <w:rsid w:val="00B13DA8"/>
    <w:rsid w:val="00B140E0"/>
    <w:rsid w:val="00B147B0"/>
    <w:rsid w:val="00B167FF"/>
    <w:rsid w:val="00B2750A"/>
    <w:rsid w:val="00B308B5"/>
    <w:rsid w:val="00B316EF"/>
    <w:rsid w:val="00B3796B"/>
    <w:rsid w:val="00B40AB4"/>
    <w:rsid w:val="00B51337"/>
    <w:rsid w:val="00B523B5"/>
    <w:rsid w:val="00B54E57"/>
    <w:rsid w:val="00B73CF6"/>
    <w:rsid w:val="00B7401C"/>
    <w:rsid w:val="00B80C24"/>
    <w:rsid w:val="00B81B4D"/>
    <w:rsid w:val="00B82DCB"/>
    <w:rsid w:val="00B87161"/>
    <w:rsid w:val="00B9721A"/>
    <w:rsid w:val="00BA2DF9"/>
    <w:rsid w:val="00BA66C0"/>
    <w:rsid w:val="00BA7D79"/>
    <w:rsid w:val="00BC0C8B"/>
    <w:rsid w:val="00BC21A9"/>
    <w:rsid w:val="00BC3855"/>
    <w:rsid w:val="00BC5A4F"/>
    <w:rsid w:val="00BD7020"/>
    <w:rsid w:val="00BE3327"/>
    <w:rsid w:val="00BE49E7"/>
    <w:rsid w:val="00BE6C82"/>
    <w:rsid w:val="00BF785C"/>
    <w:rsid w:val="00C007A5"/>
    <w:rsid w:val="00C00975"/>
    <w:rsid w:val="00C03279"/>
    <w:rsid w:val="00C07D1E"/>
    <w:rsid w:val="00C15A13"/>
    <w:rsid w:val="00C15F2C"/>
    <w:rsid w:val="00C222FB"/>
    <w:rsid w:val="00C25069"/>
    <w:rsid w:val="00C25350"/>
    <w:rsid w:val="00C4536D"/>
    <w:rsid w:val="00C45CC8"/>
    <w:rsid w:val="00C500FD"/>
    <w:rsid w:val="00C64A34"/>
    <w:rsid w:val="00C70467"/>
    <w:rsid w:val="00C77B40"/>
    <w:rsid w:val="00C914B7"/>
    <w:rsid w:val="00C93921"/>
    <w:rsid w:val="00CA011C"/>
    <w:rsid w:val="00CB4C23"/>
    <w:rsid w:val="00CB5C27"/>
    <w:rsid w:val="00CC255D"/>
    <w:rsid w:val="00CC3152"/>
    <w:rsid w:val="00CC3D5C"/>
    <w:rsid w:val="00CD3BF1"/>
    <w:rsid w:val="00CE54E8"/>
    <w:rsid w:val="00D00FFF"/>
    <w:rsid w:val="00D301B2"/>
    <w:rsid w:val="00D31013"/>
    <w:rsid w:val="00D36388"/>
    <w:rsid w:val="00D3699F"/>
    <w:rsid w:val="00D539A6"/>
    <w:rsid w:val="00D5560B"/>
    <w:rsid w:val="00D566C0"/>
    <w:rsid w:val="00D61C03"/>
    <w:rsid w:val="00D63C19"/>
    <w:rsid w:val="00D746AB"/>
    <w:rsid w:val="00D77C52"/>
    <w:rsid w:val="00D81F14"/>
    <w:rsid w:val="00D8247A"/>
    <w:rsid w:val="00D910B4"/>
    <w:rsid w:val="00D97934"/>
    <w:rsid w:val="00D97E1E"/>
    <w:rsid w:val="00DA137D"/>
    <w:rsid w:val="00DA5CFB"/>
    <w:rsid w:val="00DC376B"/>
    <w:rsid w:val="00DC5EF7"/>
    <w:rsid w:val="00DC6A74"/>
    <w:rsid w:val="00DD12EC"/>
    <w:rsid w:val="00DD1E5B"/>
    <w:rsid w:val="00DD7A8A"/>
    <w:rsid w:val="00DE1560"/>
    <w:rsid w:val="00DE3232"/>
    <w:rsid w:val="00DE6E5A"/>
    <w:rsid w:val="00DF4D5B"/>
    <w:rsid w:val="00E027A8"/>
    <w:rsid w:val="00E04B21"/>
    <w:rsid w:val="00E07453"/>
    <w:rsid w:val="00E1621F"/>
    <w:rsid w:val="00E178E1"/>
    <w:rsid w:val="00E32575"/>
    <w:rsid w:val="00E3524C"/>
    <w:rsid w:val="00E41185"/>
    <w:rsid w:val="00E44A04"/>
    <w:rsid w:val="00E510CD"/>
    <w:rsid w:val="00E60749"/>
    <w:rsid w:val="00E66474"/>
    <w:rsid w:val="00E736C4"/>
    <w:rsid w:val="00E73AA6"/>
    <w:rsid w:val="00E767F8"/>
    <w:rsid w:val="00E779F9"/>
    <w:rsid w:val="00E8322A"/>
    <w:rsid w:val="00E863CE"/>
    <w:rsid w:val="00E86CA0"/>
    <w:rsid w:val="00E92781"/>
    <w:rsid w:val="00E93FD7"/>
    <w:rsid w:val="00EA05EB"/>
    <w:rsid w:val="00EA0EE3"/>
    <w:rsid w:val="00EA20B2"/>
    <w:rsid w:val="00EA2D44"/>
    <w:rsid w:val="00EA50D3"/>
    <w:rsid w:val="00EA7B4A"/>
    <w:rsid w:val="00EB6579"/>
    <w:rsid w:val="00EC0AE0"/>
    <w:rsid w:val="00EC27C7"/>
    <w:rsid w:val="00EC6C76"/>
    <w:rsid w:val="00EC77B3"/>
    <w:rsid w:val="00EC7C41"/>
    <w:rsid w:val="00EE1696"/>
    <w:rsid w:val="00EE706B"/>
    <w:rsid w:val="00EE771B"/>
    <w:rsid w:val="00F03FEF"/>
    <w:rsid w:val="00F14A0D"/>
    <w:rsid w:val="00F179DD"/>
    <w:rsid w:val="00F2234C"/>
    <w:rsid w:val="00F36105"/>
    <w:rsid w:val="00F4342A"/>
    <w:rsid w:val="00F65BE9"/>
    <w:rsid w:val="00F667B4"/>
    <w:rsid w:val="00F82255"/>
    <w:rsid w:val="00F83FB5"/>
    <w:rsid w:val="00F90B4F"/>
    <w:rsid w:val="00F967DE"/>
    <w:rsid w:val="00FA1BF3"/>
    <w:rsid w:val="00FA2D98"/>
    <w:rsid w:val="00FA5160"/>
    <w:rsid w:val="00FB4082"/>
    <w:rsid w:val="00FB61CB"/>
    <w:rsid w:val="00FC4943"/>
    <w:rsid w:val="00FC5A0E"/>
    <w:rsid w:val="00FC6194"/>
    <w:rsid w:val="00FD1071"/>
    <w:rsid w:val="00FD1591"/>
    <w:rsid w:val="00FD194E"/>
    <w:rsid w:val="00FD544B"/>
    <w:rsid w:val="00FF2860"/>
    <w:rsid w:val="00FF3181"/>
    <w:rsid w:val="00FF4223"/>
    <w:rsid w:val="00FF626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A561"/>
  <w15:docId w15:val="{2FFB8854-2918-4B24-9ED1-8262ED9C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line="259"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D98"/>
    <w:pPr>
      <w:spacing w:before="0" w:after="0" w:line="240" w:lineRule="auto"/>
      <w:ind w:firstLine="0"/>
      <w:jc w:val="left"/>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7A32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F4928"/>
    <w:pPr>
      <w:keepNext/>
      <w:keepLines/>
      <w:spacing w:before="200" w:line="360" w:lineRule="exact"/>
      <w:jc w:val="both"/>
      <w:outlineLvl w:val="2"/>
    </w:pPr>
    <w:rPr>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5863"/>
    <w:pPr>
      <w:tabs>
        <w:tab w:val="center" w:pos="4320"/>
        <w:tab w:val="right" w:pos="8640"/>
      </w:tabs>
    </w:pPr>
  </w:style>
  <w:style w:type="character" w:customStyle="1" w:styleId="HeaderChar">
    <w:name w:val="Header Char"/>
    <w:basedOn w:val="DefaultParagraphFont"/>
    <w:link w:val="Header"/>
    <w:rsid w:val="00315863"/>
    <w:rPr>
      <w:rFonts w:ascii="Times New Roman" w:eastAsia="Times New Roman" w:hAnsi="Times New Roman" w:cs="Times New Roman"/>
      <w:sz w:val="20"/>
      <w:szCs w:val="20"/>
    </w:rPr>
  </w:style>
  <w:style w:type="paragraph" w:styleId="NormalWeb">
    <w:name w:val="Normal (Web)"/>
    <w:basedOn w:val="Normal"/>
    <w:uiPriority w:val="99"/>
    <w:rsid w:val="00315863"/>
    <w:pPr>
      <w:spacing w:before="100" w:beforeAutospacing="1" w:after="100" w:afterAutospacing="1"/>
    </w:pPr>
    <w:rPr>
      <w:sz w:val="24"/>
      <w:szCs w:val="24"/>
    </w:rPr>
  </w:style>
  <w:style w:type="paragraph" w:customStyle="1" w:styleId="abc">
    <w:name w:val="abc"/>
    <w:basedOn w:val="Normal"/>
    <w:rsid w:val="00315863"/>
    <w:pPr>
      <w:tabs>
        <w:tab w:val="left" w:pos="425"/>
      </w:tabs>
      <w:autoSpaceDE w:val="0"/>
      <w:autoSpaceDN w:val="0"/>
      <w:spacing w:before="60" w:after="60" w:line="360" w:lineRule="auto"/>
      <w:ind w:firstLine="425"/>
      <w:jc w:val="both"/>
    </w:pPr>
    <w:rPr>
      <w:rFonts w:ascii=".VnTime" w:eastAsia="SimSun" w:hAnsi=".VnTime" w:cs=".VnTime"/>
      <w:sz w:val="28"/>
      <w:szCs w:val="28"/>
    </w:rPr>
  </w:style>
  <w:style w:type="character" w:customStyle="1" w:styleId="Vanbnnidung">
    <w:name w:val="Van b?n n?i dung_"/>
    <w:link w:val="Vanbnnidung1"/>
    <w:rsid w:val="00315863"/>
    <w:rPr>
      <w:sz w:val="23"/>
      <w:szCs w:val="23"/>
      <w:shd w:val="clear" w:color="auto" w:fill="FFFFFF"/>
    </w:rPr>
  </w:style>
  <w:style w:type="paragraph" w:customStyle="1" w:styleId="Vanbnnidung1">
    <w:name w:val="Van b?n n?i dung1"/>
    <w:basedOn w:val="Normal"/>
    <w:link w:val="Vanbnnidung"/>
    <w:rsid w:val="00315863"/>
    <w:pPr>
      <w:widowControl w:val="0"/>
      <w:shd w:val="clear" w:color="auto" w:fill="FFFFFF"/>
      <w:spacing w:before="360" w:after="2880" w:line="326" w:lineRule="exact"/>
      <w:ind w:hanging="380"/>
      <w:jc w:val="center"/>
    </w:pPr>
    <w:rPr>
      <w:rFonts w:asciiTheme="minorHAnsi" w:eastAsiaTheme="minorHAnsi" w:hAnsiTheme="minorHAnsi" w:cstheme="minorBidi"/>
      <w:sz w:val="23"/>
      <w:szCs w:val="23"/>
    </w:rPr>
  </w:style>
  <w:style w:type="character" w:customStyle="1" w:styleId="Vanbnnidung5">
    <w:name w:val="Van b?n n?i dung5"/>
    <w:rsid w:val="00315863"/>
    <w:rPr>
      <w:rFonts w:ascii="Times New Roman" w:hAnsi="Times New Roman" w:cs="Times New Roman"/>
      <w:sz w:val="23"/>
      <w:szCs w:val="23"/>
      <w:u w:val="none"/>
      <w:lang w:bidi="ar-SA"/>
    </w:rPr>
  </w:style>
  <w:style w:type="paragraph" w:styleId="ListParagraph">
    <w:name w:val="List Paragraph"/>
    <w:basedOn w:val="Normal"/>
    <w:uiPriority w:val="34"/>
    <w:qFormat/>
    <w:rsid w:val="00574766"/>
    <w:pPr>
      <w:ind w:left="720"/>
      <w:contextualSpacing/>
    </w:pPr>
  </w:style>
  <w:style w:type="character" w:customStyle="1" w:styleId="Heading3Char">
    <w:name w:val="Heading 3 Char"/>
    <w:basedOn w:val="DefaultParagraphFont"/>
    <w:link w:val="Heading3"/>
    <w:rsid w:val="009F4928"/>
    <w:rPr>
      <w:rFonts w:ascii="Times New Roman" w:eastAsia="Times New Roman" w:hAnsi="Times New Roman" w:cs="Times New Roman"/>
      <w:b/>
      <w:bCs/>
      <w:color w:val="4F81BD"/>
      <w:sz w:val="20"/>
      <w:szCs w:val="20"/>
    </w:rPr>
  </w:style>
  <w:style w:type="paragraph" w:styleId="BalloonText">
    <w:name w:val="Balloon Text"/>
    <w:basedOn w:val="Normal"/>
    <w:link w:val="BalloonTextChar"/>
    <w:uiPriority w:val="99"/>
    <w:semiHidden/>
    <w:unhideWhenUsed/>
    <w:rsid w:val="00571F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FC0"/>
    <w:rPr>
      <w:rFonts w:ascii="Segoe UI" w:eastAsia="Times New Roman" w:hAnsi="Segoe UI" w:cs="Segoe UI"/>
      <w:sz w:val="18"/>
      <w:szCs w:val="18"/>
    </w:rPr>
  </w:style>
  <w:style w:type="paragraph" w:customStyle="1" w:styleId="CharCharCharChar">
    <w:name w:val="Char Char Char Char"/>
    <w:basedOn w:val="Normal"/>
    <w:next w:val="Normal"/>
    <w:autoRedefine/>
    <w:semiHidden/>
    <w:rsid w:val="004A6058"/>
    <w:pPr>
      <w:spacing w:before="120" w:after="120" w:line="312" w:lineRule="auto"/>
    </w:pPr>
    <w:rPr>
      <w:sz w:val="28"/>
      <w:szCs w:val="28"/>
    </w:rPr>
  </w:style>
  <w:style w:type="paragraph" w:styleId="BodyTextIndent">
    <w:name w:val="Body Text Indent"/>
    <w:aliases w:val=" Char3 Char, Char3 Char Char, Char5, Char3 Char Char Char Char,Body Text Indent1, Char51, Char3 Char1 Char, Char3 Char1, Char3 Char Char Char Char Char Char Char Char Char, Char3 Char Char Char Char Char Char"/>
    <w:basedOn w:val="Normal"/>
    <w:link w:val="BodyTextIndentChar1"/>
    <w:rsid w:val="00F36105"/>
    <w:pPr>
      <w:tabs>
        <w:tab w:val="center" w:pos="1701"/>
        <w:tab w:val="left" w:pos="3686"/>
        <w:tab w:val="center" w:pos="6521"/>
      </w:tabs>
      <w:ind w:left="567" w:firstLine="851"/>
      <w:jc w:val="both"/>
    </w:pPr>
    <w:rPr>
      <w:rFonts w:ascii="VNI-Times" w:hAnsi="VNI-Times"/>
      <w:sz w:val="26"/>
      <w:lang w:val="x-none" w:eastAsia="x-none"/>
    </w:rPr>
  </w:style>
  <w:style w:type="character" w:customStyle="1" w:styleId="BodyTextIndentChar">
    <w:name w:val="Body Text Indent Char"/>
    <w:basedOn w:val="DefaultParagraphFont"/>
    <w:uiPriority w:val="99"/>
    <w:semiHidden/>
    <w:rsid w:val="00F36105"/>
    <w:rPr>
      <w:rFonts w:ascii="Times New Roman" w:eastAsia="Times New Roman" w:hAnsi="Times New Roman" w:cs="Times New Roman"/>
      <w:sz w:val="20"/>
      <w:szCs w:val="20"/>
    </w:rPr>
  </w:style>
  <w:style w:type="character" w:customStyle="1" w:styleId="BodyTextIndentChar1">
    <w:name w:val="Body Text Indent Char1"/>
    <w:aliases w:val=" Char3 Char Char1, Char3 Char Char Char, Char5 Char, Char3 Char Char Char Char Char,Body Text Indent1 Char, Char51 Char, Char3 Char1 Char Char, Char3 Char1 Char1, Char3 Char Char Char Char Char Char Char Char Char Char"/>
    <w:link w:val="BodyTextIndent"/>
    <w:rsid w:val="00F36105"/>
    <w:rPr>
      <w:rFonts w:ascii="VNI-Times" w:eastAsia="Times New Roman" w:hAnsi="VNI-Times" w:cs="Times New Roman"/>
      <w:sz w:val="26"/>
      <w:szCs w:val="20"/>
      <w:lang w:val="x-none" w:eastAsia="x-none"/>
    </w:rPr>
  </w:style>
  <w:style w:type="table" w:styleId="TableGrid">
    <w:name w:val="Table Grid"/>
    <w:basedOn w:val="TableNormal"/>
    <w:uiPriority w:val="39"/>
    <w:rsid w:val="00B5133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45416"/>
    <w:pPr>
      <w:tabs>
        <w:tab w:val="center" w:pos="4680"/>
        <w:tab w:val="right" w:pos="9360"/>
      </w:tabs>
    </w:pPr>
  </w:style>
  <w:style w:type="character" w:customStyle="1" w:styleId="FooterChar">
    <w:name w:val="Footer Char"/>
    <w:basedOn w:val="DefaultParagraphFont"/>
    <w:link w:val="Footer"/>
    <w:uiPriority w:val="99"/>
    <w:rsid w:val="00845416"/>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7A32C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4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20</cp:revision>
  <cp:lastPrinted>2023-10-13T00:57:00Z</cp:lastPrinted>
  <dcterms:created xsi:type="dcterms:W3CDTF">2024-02-01T02:15:00Z</dcterms:created>
  <dcterms:modified xsi:type="dcterms:W3CDTF">2024-02-01T03:16:00Z</dcterms:modified>
</cp:coreProperties>
</file>