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1E" w:rsidRPr="00063557" w:rsidRDefault="005C401E" w:rsidP="005C401E">
      <w:pPr>
        <w:tabs>
          <w:tab w:val="left" w:pos="2880"/>
        </w:tabs>
        <w:jc w:val="center"/>
        <w:rPr>
          <w:color w:val="000000"/>
          <w:sz w:val="22"/>
          <w:szCs w:val="22"/>
        </w:rPr>
      </w:pPr>
    </w:p>
    <w:p w:rsidR="005C401E" w:rsidRPr="00063557" w:rsidRDefault="005C401E" w:rsidP="005C401E">
      <w:pPr>
        <w:jc w:val="center"/>
        <w:rPr>
          <w:rFonts w:ascii="Times New Roman" w:hAnsi="Times New Roman" w:cs="Times New Roman"/>
          <w:b/>
          <w:bCs/>
          <w:color w:val="000000"/>
        </w:rPr>
      </w:pPr>
      <w:r>
        <w:rPr>
          <w:b/>
          <w:color w:val="000000"/>
          <w:szCs w:val="28"/>
        </w:rPr>
        <w:t xml:space="preserve">Sở Tư pháp với kết quả </w:t>
      </w:r>
      <w:r w:rsidRPr="00063557">
        <w:rPr>
          <w:rFonts w:ascii="Times New Roman" w:hAnsi="Times New Roman" w:cs="Times New Roman"/>
          <w:b/>
          <w:bCs/>
          <w:color w:val="000000"/>
        </w:rPr>
        <w:t xml:space="preserve">thực hiện Quyết định số 521/QĐ-TTg ngày 13/6/2005 </w:t>
      </w:r>
    </w:p>
    <w:p w:rsidR="005C401E" w:rsidRPr="00063557" w:rsidRDefault="005C401E" w:rsidP="005C401E">
      <w:pPr>
        <w:jc w:val="center"/>
        <w:rPr>
          <w:rFonts w:ascii="Times New Roman" w:hAnsi="Times New Roman" w:cs="Times New Roman"/>
          <w:b/>
          <w:bCs/>
          <w:color w:val="000000"/>
        </w:rPr>
      </w:pPr>
      <w:r w:rsidRPr="00063557">
        <w:rPr>
          <w:rFonts w:ascii="Times New Roman" w:hAnsi="Times New Roman" w:cs="Times New Roman"/>
          <w:b/>
          <w:bCs/>
          <w:color w:val="000000"/>
        </w:rPr>
        <w:t xml:space="preserve">của Thủ tướng Chính phủ về “Ngày hội toàn dân bảo vệ </w:t>
      </w:r>
    </w:p>
    <w:p w:rsidR="005C401E" w:rsidRPr="00063557" w:rsidRDefault="005C401E" w:rsidP="005C401E">
      <w:pPr>
        <w:jc w:val="center"/>
        <w:rPr>
          <w:rFonts w:ascii="Times New Roman" w:hAnsi="Times New Roman" w:cs="Times New Roman"/>
          <w:i/>
          <w:iCs/>
          <w:color w:val="000000"/>
        </w:rPr>
      </w:pPr>
      <w:r w:rsidRPr="00063557">
        <w:rPr>
          <w:rFonts w:ascii="Times New Roman" w:hAnsi="Times New Roman" w:cs="Times New Roman"/>
          <w:b/>
          <w:bCs/>
          <w:color w:val="000000"/>
        </w:rPr>
        <w:t>an ninh Tổ quốc” giai đoạn 2015-2020</w:t>
      </w:r>
    </w:p>
    <w:p w:rsidR="005C401E" w:rsidRPr="00063557" w:rsidRDefault="005C401E" w:rsidP="005C401E">
      <w:pPr>
        <w:tabs>
          <w:tab w:val="left" w:pos="2880"/>
        </w:tabs>
        <w:jc w:val="center"/>
        <w:rPr>
          <w:b/>
          <w:color w:val="000000"/>
          <w:szCs w:val="28"/>
        </w:rPr>
      </w:pPr>
      <w:r w:rsidRPr="00063557">
        <w:rPr>
          <w:b/>
          <w:color w:val="000000"/>
          <w:szCs w:val="28"/>
        </w:rPr>
        <w:t>_______________</w:t>
      </w:r>
    </w:p>
    <w:p w:rsidR="005C401E" w:rsidRPr="00063557" w:rsidRDefault="005C401E" w:rsidP="005C401E">
      <w:pPr>
        <w:tabs>
          <w:tab w:val="left" w:pos="2880"/>
        </w:tabs>
        <w:spacing w:before="60"/>
        <w:ind w:firstLine="720"/>
        <w:jc w:val="both"/>
        <w:rPr>
          <w:color w:val="000000"/>
          <w:szCs w:val="28"/>
          <w:lang w:val="es-ES_tradnl"/>
        </w:rPr>
      </w:pPr>
    </w:p>
    <w:p w:rsidR="005C401E" w:rsidRPr="00063557" w:rsidRDefault="005C401E" w:rsidP="005C401E">
      <w:pPr>
        <w:spacing w:before="120"/>
        <w:ind w:firstLine="709"/>
        <w:jc w:val="both"/>
        <w:rPr>
          <w:rFonts w:ascii="Times New Roman" w:eastAsia="Times New Roman" w:hAnsi="Times New Roman" w:cs="Times New Roman"/>
          <w:color w:val="000000"/>
          <w:kern w:val="0"/>
          <w:szCs w:val="28"/>
          <w:lang w:eastAsia="en-US" w:bidi="ar-SA"/>
        </w:rPr>
      </w:pPr>
      <w:r w:rsidRPr="00063557">
        <w:rPr>
          <w:rFonts w:ascii="Times New Roman" w:hAnsi="Times New Roman" w:cs="Times New Roman"/>
          <w:bCs/>
          <w:color w:val="000000"/>
        </w:rPr>
        <w:t xml:space="preserve">Thực hiện Quyết định số 521/QĐ-TTg ngày 13/6/2005 của Thủ tướng Chính phủ về “Ngày hội toàn dân bảo vệ an ninh Tổ quốc”; trong giai đoạn 2015-2020, Sở Tư pháp </w:t>
      </w:r>
      <w:r w:rsidRPr="00063557">
        <w:rPr>
          <w:rFonts w:ascii="Times New Roman" w:eastAsia="Times New Roman" w:hAnsi="Times New Roman"/>
          <w:color w:val="000000"/>
          <w:szCs w:val="28"/>
        </w:rPr>
        <w:t>đã tăng cường sự lãnh đạo của Đảng ủy và Chi ủy đối với phong trào toàn dân bảo vệ an ninh Tổ quốc, huy động sức mạnh tổng hợp của Đảng viên và quần chúng tham gia đấu tranh phòng, chống tội phạm, giữ gìn an ninh trật tự, an toàn xã hội, phục vụ công cuộc xây dựng và bảo vệ Tổ quốc.</w:t>
      </w:r>
    </w:p>
    <w:p w:rsidR="005C401E"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t xml:space="preserve"> Ban Giám đốc đã quán triệt sâu sắc và tổ chức chỉ đạo thống nhất, thực hiện thường xuyên, nghiêm túc, có hiệu quả phong trào toàn dân bảo vệ an ninh Tổ quốc gắn kết chặt chẽ với </w:t>
      </w:r>
      <w:r w:rsidR="009159F5">
        <w:rPr>
          <w:rFonts w:ascii="Times New Roman" w:eastAsia="Times New Roman" w:hAnsi="Times New Roman"/>
          <w:color w:val="000000"/>
          <w:szCs w:val="28"/>
        </w:rPr>
        <w:t>các phong trào thi đua yêu nước</w:t>
      </w:r>
      <w:r w:rsidRPr="00063557">
        <w:rPr>
          <w:rFonts w:ascii="Times New Roman" w:eastAsia="Times New Roman" w:hAnsi="Times New Roman"/>
          <w:color w:val="000000"/>
          <w:szCs w:val="28"/>
        </w:rPr>
        <w:t xml:space="preserve">, đáp ứng yêu cầu, nhiệm vụ bảo vệ an ninh trật tự trong tình hình mới. </w:t>
      </w:r>
    </w:p>
    <w:p w:rsidR="005C401E" w:rsidRPr="00063557"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t>Xác định công tác bảo vệ an ninh Tổ quốc là một trong những nhiệm vụ trọng tâm, thường xuyên của cơ quan, đơn vị do đó Sở Tư pháp đã đề ra chương trình, kế hoạch để thực hiện có hiệu quả, gắn với việc thực hiện thắng lợi nhiệm vụ chính trị của cơ quan, đơn vị. Bí thư Đảng bộ, Giám đốc Sở chịu trách nhiệm chỉ đạo tổ chức thực hiện và chịu trách nhiệm về tình hình an ninh, trật tự ở cơ quan, đơn vị. Mỗi đảng viên và quần chúng có trách nhiệm tự giác thực hiện, đồng thời chủ động tuyên truyền, giáo dục, vận động gia đình và nhân dân tích cực tham gia phong trào toàn dân bảo vệ an ninh Tổ quốc</w:t>
      </w:r>
      <w:r w:rsidR="009159F5">
        <w:rPr>
          <w:rFonts w:ascii="Times New Roman" w:eastAsia="Times New Roman" w:hAnsi="Times New Roman"/>
          <w:color w:val="000000"/>
          <w:szCs w:val="28"/>
        </w:rPr>
        <w:t>; đấu tranh phòng, chống tội phạm và vi phạm pháp luật</w:t>
      </w:r>
      <w:r w:rsidRPr="00063557">
        <w:rPr>
          <w:rFonts w:ascii="Times New Roman" w:eastAsia="Times New Roman" w:hAnsi="Times New Roman"/>
          <w:color w:val="000000"/>
          <w:szCs w:val="28"/>
        </w:rPr>
        <w:t>.</w:t>
      </w:r>
    </w:p>
    <w:p w:rsidR="005C401E" w:rsidRPr="00063557" w:rsidRDefault="005C401E" w:rsidP="005C401E">
      <w:pPr>
        <w:shd w:val="clear" w:color="auto" w:fill="FFFFFF"/>
        <w:spacing w:before="120"/>
        <w:jc w:val="both"/>
        <w:rPr>
          <w:rFonts w:ascii="Times New Roman" w:eastAsia="Times New Roman" w:hAnsi="Times New Roman"/>
          <w:color w:val="000000"/>
          <w:szCs w:val="28"/>
        </w:rPr>
      </w:pPr>
      <w:r w:rsidRPr="00063557">
        <w:rPr>
          <w:rFonts w:ascii="Times New Roman" w:eastAsia="Times New Roman" w:hAnsi="Times New Roman"/>
          <w:color w:val="000000"/>
          <w:szCs w:val="28"/>
        </w:rPr>
        <w:t> </w:t>
      </w:r>
      <w:r w:rsidRPr="00063557">
        <w:rPr>
          <w:rFonts w:ascii="Times New Roman" w:eastAsia="Times New Roman" w:hAnsi="Times New Roman"/>
          <w:color w:val="000000"/>
          <w:szCs w:val="28"/>
        </w:rPr>
        <w:tab/>
        <w:t>Triển khai thực hiện có hiệu quả các chỉ thị, nghị quyết của Đảng, Nhà nước và của Tỉnh uỷ, Hội đồng nhân dân, Uỷ ban nhân dân tỉnh về nhiệm vụ bảo vệ an ninh, trật tự. Thành lập Đội tự vệ của cơ quan tham gia phong trào toàn dân bảo vệ an ninh Tổ quốc, đấu tranh phòng, chống các loại tội phạm, tệ nạn xã hội, góp phần bảo đảm an ninh trật tự tại cơ quan, địa bàn.</w:t>
      </w:r>
    </w:p>
    <w:p w:rsidR="005C401E" w:rsidRPr="00063557"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t> Đổi mới nội dung, hình thức, biện pháp tuyên truyền, vận động cán bộ, nhân dân tích cực tham gia bảo vệ an ninh Tổ quốc, coi đây vừa là nghĩa vụ, vừa là quyền lợi góp phần bảo vệ sự bình yên cho cá nhân, gia đình và cộng đồng xã hội. Tập trung tuyên truyền, giáo dục lòng yêu nước, tự hào, tự tôn dân tộc; ý thức sống và làm việc theo pháp luật, thực hiện nghiêm các chủ trương, đường lối của Đảng, chính sách pháp luật của Nhà nước, các quy định của địa phương, đơn vị về bảo vệ an ninh trật tự. Chú trọng các địa bàn trọng điểm, phức tạp về an ninh trật tự, ma t</w:t>
      </w:r>
      <w:r>
        <w:rPr>
          <w:rFonts w:ascii="Times New Roman" w:eastAsia="Times New Roman" w:hAnsi="Times New Roman"/>
          <w:color w:val="000000"/>
          <w:szCs w:val="28"/>
        </w:rPr>
        <w:t>úy</w:t>
      </w:r>
      <w:r w:rsidRPr="00063557">
        <w:rPr>
          <w:rFonts w:ascii="Times New Roman" w:eastAsia="Times New Roman" w:hAnsi="Times New Roman"/>
          <w:color w:val="000000"/>
          <w:szCs w:val="28"/>
        </w:rPr>
        <w:t>, tai nạn giao thông, vùng dân tộc ít người, vùng đồng bào tôn giáo...</w:t>
      </w:r>
    </w:p>
    <w:p w:rsidR="005C401E" w:rsidRPr="00063557"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t> Đẩy mạnh nêu gương các mô hình, điển hình tiên tiến về an ninh, trật tự ở cơ sở, các tổ chức quần chúng phòng, chống tội phạm, tệ nạn xã hội. Động viên, khích lệ cán bộ, nhân dân tích cực tham gia xây dựng khu dân cư, xã, phường, thị trấn, cơ quan, doanh nghiệp, trường học… an toàn về an ninh, trật tự; chủ động phòng ngừa, phát hiện, tố giác tội phạm, phòng, chống tệ nạn xã hội; giáo dục, giúp đỡ, cảm hoá những người phạm tội được đặc xá, tha tù, người mắc tệ nạn xã hội, người lầm lỗi đã cải tạo tốt để sớm ổn định cuộc sống, hoà nhập vào cộng đồng.</w:t>
      </w:r>
    </w:p>
    <w:p w:rsidR="005C401E" w:rsidRPr="00063557"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lastRenderedPageBreak/>
        <w:t> Kịp thời động viên, khích lệ những cá nhân có thành tích xuất sắc trong phong trào toàn dân bảo vệ an ninh Tổ quốc.</w:t>
      </w:r>
      <w:r>
        <w:rPr>
          <w:rFonts w:ascii="Times New Roman" w:eastAsia="Times New Roman" w:hAnsi="Times New Roman"/>
          <w:color w:val="000000"/>
          <w:szCs w:val="28"/>
        </w:rPr>
        <w:t xml:space="preserve"> </w:t>
      </w:r>
      <w:r w:rsidRPr="00063557">
        <w:rPr>
          <w:rFonts w:ascii="Times New Roman" w:eastAsia="Times New Roman" w:hAnsi="Times New Roman"/>
          <w:color w:val="000000"/>
          <w:szCs w:val="28"/>
        </w:rPr>
        <w:t>Quan tâm xây dựng hệ thống chính trị cơ sở, phát huy vai trò của bí thư chi bộ, trưởng các đoàn thể ở cơ quan, đơn vị làm hạt nhân trong công tác</w:t>
      </w:r>
      <w:r>
        <w:rPr>
          <w:rFonts w:ascii="Times New Roman" w:eastAsia="Times New Roman" w:hAnsi="Times New Roman"/>
          <w:color w:val="000000"/>
          <w:szCs w:val="28"/>
        </w:rPr>
        <w:t xml:space="preserve"> </w:t>
      </w:r>
      <w:r w:rsidRPr="00063557">
        <w:rPr>
          <w:rFonts w:ascii="Times New Roman" w:eastAsia="Times New Roman" w:hAnsi="Times New Roman"/>
          <w:color w:val="000000"/>
          <w:szCs w:val="28"/>
        </w:rPr>
        <w:t>bảo vệ an ninh Tổ quốc. Củng cố lực lượng tự vệ làm nòng cốt cho phong trào toàn dân bảo vệ an ninh Tổ quốc của cơ quan, đơn vị.</w:t>
      </w:r>
    </w:p>
    <w:p w:rsidR="005C401E" w:rsidRPr="00063557" w:rsidRDefault="005C401E" w:rsidP="005C401E">
      <w:pPr>
        <w:shd w:val="clear" w:color="auto" w:fill="FFFFFF"/>
        <w:spacing w:before="120"/>
        <w:ind w:firstLine="720"/>
        <w:jc w:val="both"/>
        <w:rPr>
          <w:rFonts w:ascii="Times New Roman" w:eastAsia="Times New Roman" w:hAnsi="Times New Roman"/>
          <w:color w:val="000000"/>
          <w:szCs w:val="28"/>
        </w:rPr>
      </w:pPr>
      <w:r w:rsidRPr="00063557">
        <w:rPr>
          <w:rFonts w:ascii="Times New Roman" w:eastAsia="Times New Roman" w:hAnsi="Times New Roman"/>
          <w:color w:val="000000"/>
          <w:szCs w:val="28"/>
        </w:rPr>
        <w:t xml:space="preserve"> Đẩy mạnh việc </w:t>
      </w:r>
      <w:r w:rsidRPr="00063557">
        <w:rPr>
          <w:rFonts w:ascii="Times New Roman" w:eastAsia="Times New Roman" w:hAnsi="Times New Roman" w:cs="Times New Roman"/>
          <w:color w:val="000000"/>
          <w:szCs w:val="28"/>
        </w:rPr>
        <w:t>“</w:t>
      </w:r>
      <w:r w:rsidRPr="00063557">
        <w:rPr>
          <w:rFonts w:ascii="Times New Roman" w:hAnsi="Times New Roman" w:cs="Times New Roman"/>
          <w:color w:val="000000"/>
        </w:rPr>
        <w:t>Học tập và làm theo tư tưởng, </w:t>
      </w:r>
      <w:r w:rsidRPr="00063557">
        <w:rPr>
          <w:rFonts w:ascii="Times New Roman" w:hAnsi="Times New Roman" w:cs="Times New Roman"/>
          <w:bCs/>
          <w:color w:val="000000"/>
        </w:rPr>
        <w:t>đạo đức,</w:t>
      </w:r>
      <w:r w:rsidRPr="00063557">
        <w:rPr>
          <w:rFonts w:ascii="Times New Roman" w:hAnsi="Times New Roman" w:cs="Times New Roman"/>
          <w:color w:val="000000"/>
        </w:rPr>
        <w:t> </w:t>
      </w:r>
      <w:r w:rsidRPr="00063557">
        <w:rPr>
          <w:rFonts w:ascii="Times New Roman" w:hAnsi="Times New Roman" w:cs="Times New Roman"/>
          <w:bCs/>
          <w:color w:val="000000"/>
        </w:rPr>
        <w:t>phong cách</w:t>
      </w:r>
      <w:r w:rsidRPr="00063557">
        <w:rPr>
          <w:rFonts w:ascii="Times New Roman" w:hAnsi="Times New Roman" w:cs="Times New Roman"/>
          <w:color w:val="000000"/>
        </w:rPr>
        <w:t> </w:t>
      </w:r>
      <w:r w:rsidRPr="00063557">
        <w:rPr>
          <w:rFonts w:ascii="Times New Roman" w:hAnsi="Times New Roman" w:cs="Times New Roman"/>
          <w:bCs/>
          <w:color w:val="000000"/>
        </w:rPr>
        <w:t>Hồ Chí Minh</w:t>
      </w:r>
      <w:r w:rsidRPr="00063557">
        <w:rPr>
          <w:rFonts w:ascii="Times New Roman" w:eastAsia="Times New Roman" w:hAnsi="Times New Roman" w:cs="Times New Roman"/>
          <w:color w:val="000000"/>
          <w:szCs w:val="28"/>
        </w:rPr>
        <w:t>”</w:t>
      </w:r>
      <w:r w:rsidRPr="00063557">
        <w:rPr>
          <w:rFonts w:ascii="Times New Roman" w:eastAsia="Times New Roman" w:hAnsi="Times New Roman"/>
          <w:color w:val="000000"/>
          <w:szCs w:val="28"/>
        </w:rPr>
        <w:t>; thường xuyên tổ chức cho lực lượng tự vệ tham gia bồi dưỡng kiến thức quốc phòng, nâng cao đạo đức cách mạng, trình độ chính trị, pháp </w:t>
      </w:r>
      <w:r w:rsidRPr="00063557">
        <w:rPr>
          <w:rFonts w:ascii="Times New Roman" w:eastAsia="Times New Roman" w:hAnsi="Times New Roman"/>
          <w:color w:val="000000"/>
          <w:spacing w:val="-4"/>
          <w:szCs w:val="28"/>
        </w:rPr>
        <w:t xml:space="preserve">luật, chuyên môn nghiệp vụ, tinh thần bảo vệ an ninh Tổ quốc. </w:t>
      </w:r>
      <w:r w:rsidRPr="00063557">
        <w:rPr>
          <w:rFonts w:ascii="Times New Roman" w:eastAsia="Times New Roman" w:hAnsi="Times New Roman"/>
          <w:color w:val="000000"/>
          <w:szCs w:val="28"/>
        </w:rPr>
        <w:t>Quan tâm đầu tư ngân sách, cơ sở vật chất, phương tiện làm việc, chế độ, chính sách và các điều kiện đảm bảo phục vụ công tác của lực lượng tự vệ tạo điều kiện cho lực lượng này đủ sức hoàn thành tốt nhiệm vụ được giao.</w:t>
      </w:r>
    </w:p>
    <w:p w:rsidR="005C401E" w:rsidRPr="00E6281F" w:rsidRDefault="005C401E" w:rsidP="005C401E">
      <w:pPr>
        <w:spacing w:before="120"/>
        <w:ind w:firstLine="720"/>
        <w:jc w:val="both"/>
        <w:rPr>
          <w:rFonts w:ascii="Times New Roman" w:hAnsi="Times New Roman" w:cs="Times New Roman"/>
          <w:color w:val="000000"/>
          <w:szCs w:val="28"/>
        </w:rPr>
      </w:pPr>
      <w:r w:rsidRPr="00E6281F">
        <w:rPr>
          <w:rFonts w:ascii="Times New Roman" w:hAnsi="Times New Roman" w:cs="Times New Roman"/>
          <w:color w:val="000000"/>
          <w:szCs w:val="28"/>
        </w:rPr>
        <w:t>Là cơ quan chuyên môn của UBND tỉnh chịu trách nhiệm chính trong việc tham mưu triển khai công tác PBGDPL cho cán bộ và nhân dân trên địa bàn tỉnh, đồng thời là cơ quan Thường trực của Hội đồng Phối hợp PBGDPL tỉnh và thành viên Ban chỉ đạo Phòng, chống tội phạm, tệ nạn xã hội và xây dựng phong trào toàn dân bảo vệ an ninh Tổ quốc tỉnh; hàng năm, Sở Tư pháp đều chủ động triển khai thực hiện công tác tuyên truyền, PBGDPL về phòng, chống tội phạm, tệ nạn xã hội</w:t>
      </w:r>
      <w:r>
        <w:rPr>
          <w:rFonts w:ascii="Times New Roman" w:hAnsi="Times New Roman" w:cs="Times New Roman"/>
          <w:color w:val="000000"/>
          <w:szCs w:val="28"/>
        </w:rPr>
        <w:t>;</w:t>
      </w:r>
      <w:r w:rsidRPr="00E6281F">
        <w:rPr>
          <w:rFonts w:ascii="Times New Roman" w:hAnsi="Times New Roman" w:cs="Times New Roman"/>
          <w:color w:val="000000"/>
          <w:szCs w:val="28"/>
        </w:rPr>
        <w:t xml:space="preserve"> đảm bảo trật tự, an toàn xã hội </w:t>
      </w:r>
      <w:r>
        <w:rPr>
          <w:rFonts w:ascii="Times New Roman" w:hAnsi="Times New Roman" w:cs="Times New Roman"/>
          <w:color w:val="000000"/>
          <w:szCs w:val="28"/>
        </w:rPr>
        <w:t xml:space="preserve">và bảo vệ an ninh Tổ quốc </w:t>
      </w:r>
      <w:r>
        <w:rPr>
          <w:rFonts w:ascii="Times New Roman" w:hAnsi="Times New Roman" w:cs="Times New Roman"/>
          <w:color w:val="000000"/>
          <w:szCs w:val="28"/>
        </w:rPr>
        <w:t>cho cán bộ và nhân dân trên địa bàn</w:t>
      </w:r>
      <w:r w:rsidRPr="00E6281F">
        <w:rPr>
          <w:rFonts w:ascii="Times New Roman" w:hAnsi="Times New Roman" w:cs="Times New Roman"/>
          <w:color w:val="000000"/>
          <w:szCs w:val="28"/>
        </w:rPr>
        <w:t>.</w:t>
      </w:r>
    </w:p>
    <w:p w:rsidR="008E15F3" w:rsidRDefault="005C401E" w:rsidP="005C401E">
      <w:pPr>
        <w:shd w:val="clear" w:color="auto" w:fill="FFFFFF"/>
        <w:spacing w:before="120"/>
        <w:ind w:firstLine="720"/>
        <w:jc w:val="both"/>
        <w:rPr>
          <w:rFonts w:ascii="Times New Roman" w:eastAsia="Times New Roman" w:hAnsi="Times New Roman"/>
          <w:b/>
          <w:i/>
          <w:color w:val="111111"/>
          <w:szCs w:val="28"/>
        </w:rPr>
      </w:pPr>
      <w:r w:rsidRPr="00AB1877">
        <w:rPr>
          <w:rFonts w:ascii="Times New Roman" w:eastAsia="Times New Roman" w:hAnsi="Times New Roman"/>
          <w:color w:val="111111"/>
          <w:szCs w:val="28"/>
        </w:rPr>
        <w:t xml:space="preserve">Tiếp tục phát huy những kết quả đạt được trong việc thực hiện </w:t>
      </w:r>
      <w:r w:rsidRPr="00F51F1E">
        <w:rPr>
          <w:rFonts w:ascii="Times New Roman" w:hAnsi="Times New Roman" w:cs="Times New Roman"/>
          <w:bCs/>
          <w:color w:val="000000"/>
        </w:rPr>
        <w:t>Quyết định số 521/QĐ-TTg của Thủ tướng Chính phủ</w:t>
      </w:r>
      <w:r>
        <w:rPr>
          <w:rFonts w:ascii="Times New Roman" w:hAnsi="Times New Roman" w:cs="Times New Roman"/>
          <w:bCs/>
          <w:color w:val="000000"/>
        </w:rPr>
        <w:t xml:space="preserve"> </w:t>
      </w:r>
      <w:r w:rsidRPr="005A2F1C">
        <w:rPr>
          <w:rFonts w:ascii="Times New Roman" w:hAnsi="Times New Roman" w:cs="Times New Roman"/>
          <w:bCs/>
          <w:color w:val="000000"/>
        </w:rPr>
        <w:t>giai đoạn 2015-2020</w:t>
      </w:r>
      <w:r>
        <w:rPr>
          <w:rFonts w:ascii="Times New Roman" w:hAnsi="Times New Roman" w:cs="Times New Roman"/>
          <w:bCs/>
          <w:color w:val="000000"/>
        </w:rPr>
        <w:t xml:space="preserve">; trong thời gian tới, </w:t>
      </w:r>
      <w:r>
        <w:rPr>
          <w:rFonts w:ascii="Times New Roman" w:eastAsia="Times New Roman" w:hAnsi="Times New Roman"/>
          <w:color w:val="111111"/>
          <w:szCs w:val="28"/>
        </w:rPr>
        <w:t xml:space="preserve">Sở Tư pháp </w:t>
      </w:r>
      <w:r>
        <w:rPr>
          <w:rFonts w:ascii="Times New Roman" w:eastAsia="Times New Roman" w:hAnsi="Times New Roman"/>
          <w:color w:val="111111"/>
          <w:szCs w:val="28"/>
        </w:rPr>
        <w:t>tiếp tục t</w:t>
      </w:r>
      <w:r>
        <w:rPr>
          <w:rFonts w:ascii="Times New Roman" w:eastAsia="Times New Roman" w:hAnsi="Times New Roman"/>
          <w:color w:val="111111"/>
          <w:szCs w:val="28"/>
        </w:rPr>
        <w:t xml:space="preserve">ăng cường sự lãnh đạo của Đảng </w:t>
      </w:r>
      <w:r>
        <w:rPr>
          <w:rFonts w:ascii="Times New Roman" w:eastAsia="Times New Roman" w:hAnsi="Times New Roman"/>
          <w:color w:val="111111"/>
          <w:szCs w:val="28"/>
        </w:rPr>
        <w:t>ủy</w:t>
      </w:r>
      <w:r>
        <w:rPr>
          <w:rFonts w:ascii="Times New Roman" w:eastAsia="Times New Roman" w:hAnsi="Times New Roman"/>
          <w:color w:val="111111"/>
          <w:szCs w:val="28"/>
        </w:rPr>
        <w:t xml:space="preserve">, Chi ủy Sở Tư pháp, trách nhiệm của Ban Giám đốc và các tổ chức đoàn thể trong việc triển khai thực hiện </w:t>
      </w:r>
      <w:r w:rsidRPr="00F51F1E">
        <w:rPr>
          <w:rFonts w:ascii="Times New Roman" w:hAnsi="Times New Roman" w:cs="Times New Roman"/>
          <w:bCs/>
          <w:color w:val="000000"/>
        </w:rPr>
        <w:t>Quyết định số 521/QĐ-TTg của Thủ tướng Chính phủ</w:t>
      </w:r>
      <w:r>
        <w:rPr>
          <w:rFonts w:ascii="Times New Roman" w:hAnsi="Times New Roman" w:cs="Times New Roman"/>
          <w:bCs/>
          <w:color w:val="000000"/>
        </w:rPr>
        <w:t xml:space="preserve"> </w:t>
      </w:r>
      <w:r>
        <w:rPr>
          <w:rFonts w:ascii="Times New Roman" w:eastAsia="Times New Roman" w:hAnsi="Times New Roman"/>
          <w:color w:val="111111"/>
          <w:szCs w:val="28"/>
        </w:rPr>
        <w:t>tại cơ quan, đơn vị.</w:t>
      </w:r>
      <w:r>
        <w:rPr>
          <w:rFonts w:ascii="Times New Roman" w:eastAsia="Times New Roman" w:hAnsi="Times New Roman"/>
          <w:color w:val="111111"/>
          <w:szCs w:val="28"/>
        </w:rPr>
        <w:t xml:space="preserve"> </w:t>
      </w:r>
      <w:r>
        <w:rPr>
          <w:rFonts w:ascii="Times New Roman" w:eastAsia="Times New Roman" w:hAnsi="Times New Roman"/>
          <w:color w:val="111111"/>
          <w:szCs w:val="28"/>
        </w:rPr>
        <w:t>Tiếp tục xây dựng, củng cố lực lượng tự vệ của Sở Tư pháp giỏi về chuyên môn nghiệp vụ, kiến thức quốc phòng, có bản lĩnh chính trị vững vàng để tham gia bảo vệ an ninh Tổ quốc.</w:t>
      </w:r>
      <w:r>
        <w:rPr>
          <w:rFonts w:ascii="Times New Roman" w:eastAsia="Times New Roman" w:hAnsi="Times New Roman"/>
          <w:color w:val="111111"/>
          <w:szCs w:val="28"/>
        </w:rPr>
        <w:t xml:space="preserve"> </w:t>
      </w:r>
      <w:r>
        <w:rPr>
          <w:rFonts w:ascii="Times New Roman" w:eastAsia="Times New Roman" w:hAnsi="Times New Roman"/>
          <w:color w:val="111111"/>
          <w:szCs w:val="28"/>
        </w:rPr>
        <w:t>Tăng cường tuyên truyền sâu rộng, bằng nhiều hình thức các văn bản pháp luật về</w:t>
      </w:r>
      <w:r w:rsidRPr="00AB1877">
        <w:rPr>
          <w:rFonts w:ascii="Times New Roman" w:eastAsia="Times New Roman" w:hAnsi="Times New Roman"/>
          <w:color w:val="111111"/>
          <w:szCs w:val="28"/>
        </w:rPr>
        <w:t xml:space="preserve"> </w:t>
      </w:r>
      <w:r>
        <w:rPr>
          <w:rFonts w:ascii="Times New Roman" w:eastAsia="Times New Roman" w:hAnsi="Times New Roman"/>
          <w:color w:val="111111"/>
          <w:szCs w:val="28"/>
        </w:rPr>
        <w:t>phòng chống tội phạm, phòng chống tệ nạn xã hội, bảo đảm trật tự an toàn giao thông và bảo vệ an ninh Tổ quốc cho cán bộ, công chức, viên chức và nhân dân địa phương.</w:t>
      </w:r>
      <w:r>
        <w:rPr>
          <w:rFonts w:ascii="Times New Roman" w:eastAsia="Times New Roman" w:hAnsi="Times New Roman"/>
          <w:color w:val="111111"/>
          <w:szCs w:val="28"/>
        </w:rPr>
        <w:t>/.</w:t>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r>
        <w:rPr>
          <w:rFonts w:ascii="Times New Roman" w:eastAsia="Times New Roman" w:hAnsi="Times New Roman"/>
          <w:b/>
          <w:i/>
          <w:color w:val="111111"/>
          <w:szCs w:val="28"/>
        </w:rPr>
        <w:tab/>
      </w:r>
    </w:p>
    <w:p w:rsidR="005C401E" w:rsidRPr="005C401E" w:rsidRDefault="005C401E" w:rsidP="008E15F3">
      <w:pPr>
        <w:shd w:val="clear" w:color="auto" w:fill="FFFFFF"/>
        <w:spacing w:before="120"/>
        <w:ind w:left="6480" w:firstLine="720"/>
        <w:jc w:val="both"/>
        <w:rPr>
          <w:rFonts w:ascii="Times New Roman" w:eastAsia="Times New Roman" w:hAnsi="Times New Roman"/>
          <w:b/>
          <w:i/>
          <w:color w:val="111111"/>
          <w:szCs w:val="28"/>
        </w:rPr>
      </w:pPr>
      <w:bookmarkStart w:id="0" w:name="_GoBack"/>
      <w:bookmarkEnd w:id="0"/>
      <w:r>
        <w:rPr>
          <w:rFonts w:ascii="Times New Roman" w:eastAsia="Times New Roman" w:hAnsi="Times New Roman"/>
          <w:b/>
          <w:i/>
          <w:color w:val="111111"/>
          <w:szCs w:val="28"/>
        </w:rPr>
        <w:t>Quang Tú</w:t>
      </w:r>
    </w:p>
    <w:p w:rsidR="005C401E" w:rsidRPr="00063557" w:rsidRDefault="005C401E" w:rsidP="005C401E">
      <w:pPr>
        <w:rPr>
          <w:color w:val="000000"/>
        </w:rPr>
      </w:pPr>
    </w:p>
    <w:p w:rsidR="00C575E9" w:rsidRDefault="00C575E9"/>
    <w:sectPr w:rsidR="00C575E9" w:rsidSect="005127A1">
      <w:headerReference w:type="default" r:id="rId4"/>
      <w:pgSz w:w="11906" w:h="16838"/>
      <w:pgMar w:top="718" w:right="1134" w:bottom="879" w:left="1530" w:header="720" w:footer="293"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A1" w:rsidRDefault="008E15F3">
    <w:pPr>
      <w:pStyle w:val="Header"/>
      <w:jc w:val="center"/>
    </w:pPr>
    <w:r>
      <w:fldChar w:fldCharType="begin"/>
    </w:r>
    <w:r>
      <w:instrText xml:space="preserve"> PAGE   \* MERGEFORMAT </w:instrText>
    </w:r>
    <w:r>
      <w:fldChar w:fldCharType="separate"/>
    </w:r>
    <w:r>
      <w:rPr>
        <w:noProof/>
      </w:rPr>
      <w:t>2</w:t>
    </w:r>
    <w:r>
      <w:rPr>
        <w:noProof/>
      </w:rPr>
      <w:fldChar w:fldCharType="end"/>
    </w:r>
  </w:p>
  <w:p w:rsidR="005127A1" w:rsidRDefault="008E1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1E"/>
    <w:rsid w:val="005C401E"/>
    <w:rsid w:val="008E15F3"/>
    <w:rsid w:val="009159F5"/>
    <w:rsid w:val="00C5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D202-44BB-46B2-84A2-8237C9AE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1E"/>
    <w:pPr>
      <w:widowControl w:val="0"/>
      <w:suppressAutoHyphens/>
      <w:spacing w:after="0" w:line="240" w:lineRule="auto"/>
    </w:pPr>
    <w:rPr>
      <w:rFonts w:ascii="Liberation Serif" w:eastAsia="Droid Sans Fallback" w:hAnsi="Liberation Serif" w:cs="FreeSans"/>
      <w:kern w:val="1"/>
      <w:sz w:val="2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01E"/>
    <w:pPr>
      <w:widowControl/>
      <w:suppressAutoHyphens w:val="0"/>
      <w:spacing w:before="100" w:beforeAutospacing="1" w:after="100" w:afterAutospacing="1"/>
    </w:pPr>
    <w:rPr>
      <w:rFonts w:ascii="Times New Roman" w:eastAsia="Times New Roman" w:hAnsi="Times New Roman" w:cs="Times New Roman"/>
      <w:kern w:val="0"/>
      <w:sz w:val="24"/>
      <w:lang w:eastAsia="en-US" w:bidi="ar-SA"/>
    </w:rPr>
  </w:style>
  <w:style w:type="paragraph" w:styleId="Header">
    <w:name w:val="header"/>
    <w:basedOn w:val="Normal"/>
    <w:link w:val="HeaderChar"/>
    <w:uiPriority w:val="99"/>
    <w:unhideWhenUsed/>
    <w:rsid w:val="005C401E"/>
    <w:pPr>
      <w:tabs>
        <w:tab w:val="center" w:pos="4680"/>
        <w:tab w:val="right" w:pos="9360"/>
      </w:tabs>
    </w:pPr>
    <w:rPr>
      <w:rFonts w:cs="Mangal"/>
    </w:rPr>
  </w:style>
  <w:style w:type="character" w:customStyle="1" w:styleId="HeaderChar">
    <w:name w:val="Header Char"/>
    <w:basedOn w:val="DefaultParagraphFont"/>
    <w:link w:val="Header"/>
    <w:uiPriority w:val="99"/>
    <w:rsid w:val="005C401E"/>
    <w:rPr>
      <w:rFonts w:ascii="Liberation Serif" w:eastAsia="Droid Sans Fallback" w:hAnsi="Liberation Serif" w:cs="Mangal"/>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4</cp:revision>
  <dcterms:created xsi:type="dcterms:W3CDTF">2020-09-11T03:13:00Z</dcterms:created>
  <dcterms:modified xsi:type="dcterms:W3CDTF">2020-09-11T03:34:00Z</dcterms:modified>
</cp:coreProperties>
</file>