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91" w:rsidRDefault="00E04825" w:rsidP="00E04825">
      <w:pPr>
        <w:spacing w:before="120" w:after="0" w:line="240" w:lineRule="auto"/>
        <w:jc w:val="center"/>
        <w:rPr>
          <w:rFonts w:eastAsia="Arial"/>
          <w:b/>
          <w:bCs/>
          <w:color w:val="000000"/>
          <w:sz w:val="28"/>
          <w:szCs w:val="28"/>
          <w:lang w:val="vi-VN"/>
        </w:rPr>
      </w:pPr>
      <w:r>
        <w:rPr>
          <w:b/>
          <w:sz w:val="28"/>
          <w:szCs w:val="28"/>
        </w:rPr>
        <w:t>D</w:t>
      </w:r>
      <w:r w:rsidR="005B1A9F" w:rsidRPr="004A708C">
        <w:rPr>
          <w:b/>
          <w:sz w:val="28"/>
          <w:szCs w:val="28"/>
        </w:rPr>
        <w:t xml:space="preserve">ự thảo Nghị quyết của Hội đồng nhân dân tỉnh </w:t>
      </w:r>
      <w:r>
        <w:rPr>
          <w:b/>
          <w:sz w:val="28"/>
          <w:szCs w:val="28"/>
        </w:rPr>
        <w:t xml:space="preserve">Tây Ninh </w:t>
      </w:r>
      <w:r w:rsidR="005B1A9F" w:rsidRPr="004A708C">
        <w:rPr>
          <w:b/>
          <w:sz w:val="28"/>
          <w:szCs w:val="28"/>
        </w:rPr>
        <w:t xml:space="preserve">quy định </w:t>
      </w:r>
      <w:r w:rsidR="005B1A9F" w:rsidRPr="005B1A9F">
        <w:rPr>
          <w:rFonts w:eastAsia="Arial"/>
          <w:b/>
          <w:bCs/>
          <w:color w:val="000000"/>
          <w:sz w:val="28"/>
          <w:szCs w:val="28"/>
        </w:rPr>
        <w:t>nội dung chi, mức chi thực hiện công tác phổ biến, giáo dục pháp luật</w:t>
      </w:r>
      <w:r>
        <w:rPr>
          <w:rFonts w:eastAsia="Arial"/>
          <w:b/>
          <w:bCs/>
          <w:color w:val="000000"/>
          <w:sz w:val="28"/>
          <w:szCs w:val="28"/>
        </w:rPr>
        <w:t>,</w:t>
      </w:r>
      <w:r w:rsidR="005B1A9F" w:rsidRPr="005B1A9F">
        <w:rPr>
          <w:rFonts w:eastAsia="Arial"/>
          <w:b/>
          <w:bCs/>
          <w:color w:val="000000"/>
          <w:sz w:val="28"/>
          <w:szCs w:val="28"/>
        </w:rPr>
        <w:t xml:space="preserve"> chuẩn tiếp cận pháp luật và hòa giải ở cơ sở </w:t>
      </w:r>
      <w:r w:rsidR="005B1A9F" w:rsidRPr="005B1A9F">
        <w:rPr>
          <w:rFonts w:eastAsia="Arial"/>
          <w:b/>
          <w:bCs/>
          <w:color w:val="000000"/>
          <w:sz w:val="28"/>
          <w:szCs w:val="28"/>
          <w:lang w:val="vi-VN"/>
        </w:rPr>
        <w:t>trên địa bàn tỉnh Tây Ninh</w:t>
      </w:r>
    </w:p>
    <w:p w:rsidR="00F87CC9" w:rsidRDefault="00F87CC9" w:rsidP="00E04825">
      <w:pPr>
        <w:spacing w:before="120" w:after="0" w:line="240" w:lineRule="auto"/>
        <w:jc w:val="center"/>
        <w:rPr>
          <w:rFonts w:eastAsia="Arial"/>
          <w:b/>
          <w:bCs/>
          <w:color w:val="000000"/>
          <w:sz w:val="28"/>
          <w:szCs w:val="28"/>
        </w:rPr>
      </w:pPr>
      <w:r>
        <w:rPr>
          <w:rFonts w:eastAsia="Arial"/>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2000250</wp:posOffset>
                </wp:positionH>
                <wp:positionV relativeFrom="paragraph">
                  <wp:posOffset>40640</wp:posOffset>
                </wp:positionV>
                <wp:extent cx="203835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20383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253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3.2pt" to="31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3ewAEAAMQDAAAOAAAAZHJzL2Uyb0RvYy54bWysU8uOEzEQvCPxD5bvZCZZsVqNMtlDVnBB&#10;ELGwd6+nnbGw3Vbb5PH3tD3JgHhICHGx/Oiq7qpur+9P3okDULIYerlctFJA0DjYsO/l509vXt1J&#10;kbIKg3IYoJdnSPJ+8/LF+hg7WOGIbgASTBJSd4y9HHOOXdMkPYJXaYERAj8aJK8yH2nfDKSOzO5d&#10;s2rb2+aINERCDSnx7cP0KDeV3xjQ+YMxCbJwveTacl2prs9lbTZr1e1JxdHqSxnqH6rwygZOOlM9&#10;qKzEV7K/UHmrCROavNDoGzTGaqgaWM2y/UnN46giVC1sToqzTen/0er3hx0JO3DvpAjKc4seMym7&#10;H7PYYghsIJJYFp+OMXUcvg07upxS3FERfTLkhXE2PhWacsPCxKm6fJ5dhlMWmi9X7c3dzWtuhua3&#10;27JjumZiKdhIKb8F9KJseulsKB6oTh3epTyFXkMYV6qa6qi7fHZQgl34CIZ1cb6pojpRsHUkDopn&#10;YfhSNXHaGlkgxjo3g9qa8o+gS2yBQZ2yvwXO0TUjhjwDvQ1Iv8uaT9dSzRR/VT1pLbKfcTjXrlQ7&#10;eFSqoZexLrP447nCv3++zTcAAAD//wMAUEsDBBQABgAIAAAAIQDsa5ig2gAAAAcBAAAPAAAAZHJz&#10;L2Rvd25yZXYueG1sTI/BTsMwEETvSPyDtUjcqF3auCjNpiqVEGfaXnpz4iWJGq9D7Lbh7zEnOI5m&#10;NPOm2EyuF1caQ+cZYT5TIIhrbztuEI6Ht6cXECEatqb3TAjfFGBT3t8VJrf+xh903cdGpBIOuUFo&#10;YxxyKUPdkjNh5gfi5H360ZmY5NhIO5pbKne9fFZKS2c6TgutGWjXUn3eXxzC4d2pqYrdjvhrpban&#10;10zzKUN8fJi2axCRpvgXhl/8hA5lYqr8hW0QPcJinqUvEUEvQSRfL3TSFcJqCbIs5H/+8gcAAP//&#10;AwBQSwECLQAUAAYACAAAACEAtoM4kv4AAADhAQAAEwAAAAAAAAAAAAAAAAAAAAAAW0NvbnRlbnRf&#10;VHlwZXNdLnhtbFBLAQItABQABgAIAAAAIQA4/SH/1gAAAJQBAAALAAAAAAAAAAAAAAAAAC8BAABf&#10;cmVscy8ucmVsc1BLAQItABQABgAIAAAAIQA9tL3ewAEAAMQDAAAOAAAAAAAAAAAAAAAAAC4CAABk&#10;cnMvZTJvRG9jLnhtbFBLAQItABQABgAIAAAAIQDsa5ig2gAAAAcBAAAPAAAAAAAAAAAAAAAAABoE&#10;AABkcnMvZG93bnJldi54bWxQSwUGAAAAAAQABADzAAAAIQUAAAAA&#10;" strokecolor="black [3200]" strokeweight=".5pt">
                <v:stroke joinstyle="miter"/>
              </v:line>
            </w:pict>
          </mc:Fallback>
        </mc:AlternateContent>
      </w:r>
    </w:p>
    <w:p w:rsidR="00E04825" w:rsidRDefault="007909ED" w:rsidP="00E654A2">
      <w:pPr>
        <w:spacing w:before="120" w:after="120" w:line="240" w:lineRule="auto"/>
        <w:ind w:firstLine="720"/>
        <w:jc w:val="both"/>
        <w:rPr>
          <w:color w:val="000000"/>
          <w:sz w:val="28"/>
          <w:szCs w:val="28"/>
        </w:rPr>
      </w:pPr>
      <w:r w:rsidRPr="007909ED">
        <w:rPr>
          <w:color w:val="000000"/>
          <w:sz w:val="28"/>
          <w:szCs w:val="28"/>
        </w:rPr>
        <w:t xml:space="preserve">Ngày 18/8/2023, Bộ trưởng Bộ Tài chính ban hành Thông tư số 56/2023/TT-BTC quy định việc lập dự toán, quản lý, sử dụng và quyết toán kinh phí bảo đảm cho công tác </w:t>
      </w:r>
      <w:r w:rsidRPr="007909ED">
        <w:rPr>
          <w:rFonts w:eastAsia="MS Mincho"/>
          <w:sz w:val="28"/>
          <w:szCs w:val="28"/>
        </w:rPr>
        <w:t>phổ biến, giáo dục pháp luật, chuẩn tiếp cận pháp luật và hòa giải ở cơ sở</w:t>
      </w:r>
      <w:r w:rsidR="00E04825">
        <w:rPr>
          <w:color w:val="000000"/>
          <w:sz w:val="28"/>
          <w:szCs w:val="28"/>
        </w:rPr>
        <w:t>.</w:t>
      </w:r>
    </w:p>
    <w:p w:rsidR="00E04825" w:rsidRDefault="007909ED" w:rsidP="00E654A2">
      <w:pPr>
        <w:spacing w:before="120" w:after="120" w:line="240" w:lineRule="auto"/>
        <w:ind w:firstLine="720"/>
        <w:jc w:val="both"/>
        <w:rPr>
          <w:color w:val="000000"/>
          <w:sz w:val="28"/>
          <w:szCs w:val="28"/>
        </w:rPr>
      </w:pPr>
      <w:r w:rsidRPr="007909ED">
        <w:rPr>
          <w:color w:val="000000"/>
          <w:sz w:val="28"/>
          <w:szCs w:val="28"/>
        </w:rPr>
        <w:t>Thông tư này thay thế Thông tư liên tịch số 14/2014/TTLT-BTC-BTP ngày 27</w:t>
      </w:r>
      <w:r w:rsidR="00E04825">
        <w:rPr>
          <w:color w:val="000000"/>
          <w:sz w:val="28"/>
          <w:szCs w:val="28"/>
        </w:rPr>
        <w:t>/</w:t>
      </w:r>
      <w:r w:rsidRPr="007909ED">
        <w:rPr>
          <w:color w:val="000000"/>
          <w:sz w:val="28"/>
          <w:szCs w:val="28"/>
        </w:rPr>
        <w:t>01</w:t>
      </w:r>
      <w:r w:rsidR="00E04825">
        <w:rPr>
          <w:color w:val="000000"/>
          <w:sz w:val="28"/>
          <w:szCs w:val="28"/>
        </w:rPr>
        <w:t>/</w:t>
      </w:r>
      <w:r w:rsidRPr="007909ED">
        <w:rPr>
          <w:color w:val="000000"/>
          <w:sz w:val="28"/>
          <w:szCs w:val="28"/>
        </w:rPr>
        <w:t>2014 của Bộ Tài chính và Bộ Tư pháp quy định việc lập, quản lý, sử dụng và quyết toán kinh phí bảo đảm cho công tác phổ biến, giáo dục pháp luật và chuẩn tiếp cận pháp luật của người dân tại cơ sở và Thông tư liên tịch số 100/2014/TTLT-BTC-BTP ngày 30</w:t>
      </w:r>
      <w:r w:rsidR="00E04825">
        <w:rPr>
          <w:color w:val="000000"/>
          <w:sz w:val="28"/>
          <w:szCs w:val="28"/>
        </w:rPr>
        <w:t>/</w:t>
      </w:r>
      <w:r w:rsidRPr="007909ED">
        <w:rPr>
          <w:color w:val="000000"/>
          <w:sz w:val="28"/>
          <w:szCs w:val="28"/>
        </w:rPr>
        <w:t>7</w:t>
      </w:r>
      <w:r w:rsidR="00E04825">
        <w:rPr>
          <w:color w:val="000000"/>
          <w:sz w:val="28"/>
          <w:szCs w:val="28"/>
        </w:rPr>
        <w:t>/</w:t>
      </w:r>
      <w:r w:rsidRPr="007909ED">
        <w:rPr>
          <w:color w:val="000000"/>
          <w:sz w:val="28"/>
          <w:szCs w:val="28"/>
        </w:rPr>
        <w:t xml:space="preserve">2014 của Bộ Tài chính và Bộ Tư pháp quy định việc lập dự toán, quản lý, sử dụng và quyết toán kinh phí ngân sách nhà nước thực hiện công tác hòa giải ở cơ sở. </w:t>
      </w:r>
    </w:p>
    <w:p w:rsidR="00E04825" w:rsidRPr="00E04825" w:rsidRDefault="007909ED" w:rsidP="00E654A2">
      <w:pPr>
        <w:spacing w:before="120" w:after="120" w:line="240" w:lineRule="auto"/>
        <w:ind w:firstLine="720"/>
        <w:jc w:val="both"/>
        <w:rPr>
          <w:color w:val="000000"/>
          <w:sz w:val="28"/>
          <w:szCs w:val="28"/>
        </w:rPr>
      </w:pPr>
      <w:r w:rsidRPr="00E04825">
        <w:rPr>
          <w:color w:val="000000"/>
          <w:sz w:val="28"/>
          <w:szCs w:val="28"/>
        </w:rPr>
        <w:t xml:space="preserve">Tại khoản </w:t>
      </w:r>
      <w:r w:rsidR="00E04825" w:rsidRPr="00E04825">
        <w:rPr>
          <w:color w:val="000000"/>
          <w:sz w:val="28"/>
          <w:szCs w:val="28"/>
        </w:rPr>
        <w:t>1</w:t>
      </w:r>
      <w:r w:rsidRPr="00E04825">
        <w:rPr>
          <w:color w:val="000000"/>
          <w:sz w:val="28"/>
          <w:szCs w:val="28"/>
        </w:rPr>
        <w:t xml:space="preserve"> Điều 5 của Thông tư số 56/2023/TT-BTC quy định</w:t>
      </w:r>
      <w:r w:rsidR="00E04825">
        <w:rPr>
          <w:color w:val="000000"/>
          <w:sz w:val="28"/>
          <w:szCs w:val="28"/>
        </w:rPr>
        <w:t xml:space="preserve">: </w:t>
      </w:r>
      <w:r w:rsidR="00E04825" w:rsidRPr="00E04825">
        <w:rPr>
          <w:color w:val="000000"/>
          <w:sz w:val="28"/>
          <w:szCs w:val="28"/>
          <w:shd w:val="clear" w:color="auto" w:fill="FFFFFF"/>
        </w:rPr>
        <w:t xml:space="preserve">Mức chi thực hiện công tác phổ biến, giáo dục pháp luật, chuẩn tiếp cận pháp luật và hòa giải ở cơ sở quy định tại Thông tư này là mức chi tối đa. </w:t>
      </w:r>
      <w:r w:rsidR="00E04825">
        <w:rPr>
          <w:color w:val="000000"/>
          <w:sz w:val="28"/>
          <w:szCs w:val="28"/>
          <w:shd w:val="clear" w:color="auto" w:fill="FFFFFF"/>
        </w:rPr>
        <w:t>…</w:t>
      </w:r>
      <w:r w:rsidR="00E04825" w:rsidRPr="00E04825">
        <w:rPr>
          <w:color w:val="000000"/>
          <w:sz w:val="28"/>
          <w:szCs w:val="28"/>
          <w:shd w:val="clear" w:color="auto" w:fill="FFFFFF"/>
        </w:rPr>
        <w:t>Hội đồng nhân dân tỉnh, thành phố trực thuộc trung ương quy định các mức chi cụ thể để thực hiện cho phù hợp với tình hình thực tiễn và khả năng cân đối của ngân sách địa phương. </w:t>
      </w:r>
      <w:r w:rsidR="00E04825" w:rsidRPr="00E04825">
        <w:rPr>
          <w:color w:val="000000"/>
          <w:sz w:val="28"/>
          <w:szCs w:val="28"/>
        </w:rPr>
        <w:t xml:space="preserve"> </w:t>
      </w:r>
    </w:p>
    <w:p w:rsidR="00E04825" w:rsidRDefault="00E654A2" w:rsidP="00E654A2">
      <w:pPr>
        <w:spacing w:before="120" w:after="120" w:line="240" w:lineRule="auto"/>
        <w:ind w:firstLine="720"/>
        <w:jc w:val="both"/>
        <w:rPr>
          <w:color w:val="000000"/>
          <w:sz w:val="28"/>
          <w:szCs w:val="28"/>
        </w:rPr>
      </w:pPr>
      <w:r>
        <w:rPr>
          <w:color w:val="000000"/>
          <w:sz w:val="28"/>
          <w:szCs w:val="28"/>
        </w:rPr>
        <w:t xml:space="preserve">Do đó, </w:t>
      </w:r>
      <w:r w:rsidR="007909ED" w:rsidRPr="007909ED">
        <w:rPr>
          <w:color w:val="000000"/>
          <w:sz w:val="28"/>
          <w:szCs w:val="28"/>
        </w:rPr>
        <w:t xml:space="preserve">Hội đồng nhân dân tỉnh </w:t>
      </w:r>
      <w:r w:rsidR="007909ED" w:rsidRPr="00E04825">
        <w:rPr>
          <w:color w:val="000000"/>
          <w:sz w:val="28"/>
          <w:szCs w:val="28"/>
        </w:rPr>
        <w:t>cần thiết ban hành Nghị quyết quy định nội dung chi, mức chi thực hiện công tác phổ biến, giáo dục pháp luật, chuẩn tiếp cận pháp luật và hòa giải ở cơ sở trên địa bàn tỉnh Tây Ninh</w:t>
      </w:r>
      <w:r w:rsidR="007909ED" w:rsidRPr="007909ED">
        <w:rPr>
          <w:b/>
          <w:i/>
          <w:color w:val="000000"/>
          <w:sz w:val="28"/>
          <w:szCs w:val="28"/>
        </w:rPr>
        <w:t xml:space="preserve"> </w:t>
      </w:r>
      <w:r w:rsidR="00E04825">
        <w:rPr>
          <w:color w:val="000000"/>
          <w:sz w:val="28"/>
          <w:szCs w:val="28"/>
        </w:rPr>
        <w:t>thay thế các nội dung chi và mức chi hiện hành</w:t>
      </w:r>
      <w:r w:rsidR="00E04825">
        <w:rPr>
          <w:rStyle w:val="EndnoteReference"/>
          <w:color w:val="000000"/>
          <w:sz w:val="28"/>
          <w:szCs w:val="28"/>
        </w:rPr>
        <w:endnoteReference w:id="1"/>
      </w:r>
      <w:r w:rsidR="00E04825">
        <w:rPr>
          <w:color w:val="000000"/>
          <w:sz w:val="28"/>
          <w:szCs w:val="28"/>
        </w:rPr>
        <w:t>.</w:t>
      </w:r>
    </w:p>
    <w:p w:rsidR="000363FF" w:rsidRDefault="000363FF" w:rsidP="000363FF">
      <w:pPr>
        <w:spacing w:before="120" w:after="0" w:line="240" w:lineRule="auto"/>
        <w:ind w:firstLine="720"/>
        <w:jc w:val="both"/>
        <w:rPr>
          <w:rFonts w:eastAsia="Arial"/>
          <w:bCs/>
          <w:color w:val="000000"/>
          <w:sz w:val="28"/>
          <w:szCs w:val="28"/>
        </w:rPr>
      </w:pPr>
      <w:r w:rsidRPr="000363FF">
        <w:rPr>
          <w:rFonts w:eastAsia="Arial"/>
          <w:bCs/>
          <w:color w:val="000000"/>
          <w:sz w:val="28"/>
          <w:szCs w:val="28"/>
        </w:rPr>
        <w:t xml:space="preserve">Nghị quyết áp dụng đối với </w:t>
      </w:r>
      <w:r w:rsidR="00E04825">
        <w:rPr>
          <w:rFonts w:eastAsia="Arial"/>
          <w:bCs/>
          <w:color w:val="000000"/>
          <w:sz w:val="28"/>
          <w:szCs w:val="28"/>
        </w:rPr>
        <w:t>c</w:t>
      </w:r>
      <w:r w:rsidRPr="000363FF">
        <w:rPr>
          <w:rFonts w:eastAsia="Arial"/>
          <w:bCs/>
          <w:color w:val="000000"/>
          <w:sz w:val="28"/>
          <w:szCs w:val="28"/>
          <w:lang w:val="vi-VN"/>
        </w:rPr>
        <w:t xml:space="preserve">ác cơ quan, đơn vị, tổ chức, cá nhân </w:t>
      </w:r>
      <w:r w:rsidRPr="000363FF">
        <w:rPr>
          <w:rFonts w:eastAsia="Arial"/>
          <w:bCs/>
          <w:color w:val="000000"/>
          <w:sz w:val="28"/>
          <w:szCs w:val="28"/>
        </w:rPr>
        <w:t>có liên quan đến việc lập dự toán, quản lý, sử dụng và quyết toán kinh phí bảo đảm cho công tác phổ biến, giáo dục pháp luật, chuẩn tiếp cận pháp luật và hòa giải ở cơ sở</w:t>
      </w:r>
      <w:r w:rsidR="00E04825">
        <w:rPr>
          <w:rFonts w:eastAsia="Arial"/>
          <w:bCs/>
          <w:color w:val="000000"/>
          <w:sz w:val="28"/>
          <w:szCs w:val="28"/>
        </w:rPr>
        <w:t>. Đối với</w:t>
      </w:r>
      <w:r w:rsidRPr="000363FF">
        <w:rPr>
          <w:rFonts w:eastAsia="Arial"/>
          <w:bCs/>
          <w:color w:val="000000"/>
          <w:sz w:val="28"/>
          <w:szCs w:val="28"/>
        </w:rPr>
        <w:t xml:space="preserve"> các chương trình, đề án, kế hoạch về phổ biến, giáo dục pháp luật, chuẩn tiếp cận pháp luật và hòa giải ở cơ sở có văn bản hướng dẫn riêng thì thực hiện theo quy định tại văn bản hướng dẫn đó</w:t>
      </w:r>
      <w:r w:rsidR="00E04825">
        <w:rPr>
          <w:rFonts w:eastAsia="Arial"/>
          <w:bCs/>
          <w:color w:val="000000"/>
          <w:sz w:val="28"/>
          <w:szCs w:val="28"/>
        </w:rPr>
        <w:t>; t</w:t>
      </w:r>
      <w:r w:rsidRPr="000363FF">
        <w:rPr>
          <w:rFonts w:eastAsia="Arial"/>
          <w:bCs/>
          <w:color w:val="000000"/>
          <w:sz w:val="28"/>
          <w:szCs w:val="28"/>
        </w:rPr>
        <w:t>rường hợp không có quy định riêng thì thực hiện theo quy định tại Nghị quyết này.</w:t>
      </w:r>
    </w:p>
    <w:p w:rsidR="00E654A2" w:rsidRPr="00E654A2" w:rsidRDefault="00F87CC9" w:rsidP="00E654A2">
      <w:pPr>
        <w:spacing w:before="120" w:after="0" w:line="240" w:lineRule="auto"/>
        <w:ind w:firstLine="720"/>
        <w:jc w:val="both"/>
        <w:rPr>
          <w:rFonts w:eastAsia="Arial"/>
          <w:bCs/>
          <w:color w:val="000000"/>
          <w:sz w:val="28"/>
          <w:szCs w:val="28"/>
        </w:rPr>
      </w:pPr>
      <w:r>
        <w:rPr>
          <w:rFonts w:eastAsia="Arial"/>
          <w:bCs/>
          <w:color w:val="000000"/>
          <w:sz w:val="28"/>
          <w:szCs w:val="28"/>
        </w:rPr>
        <w:t>Dự thảo</w:t>
      </w:r>
      <w:r w:rsidR="00E654A2" w:rsidRPr="00E654A2">
        <w:rPr>
          <w:rFonts w:eastAsia="Arial"/>
          <w:bCs/>
          <w:color w:val="000000"/>
          <w:sz w:val="28"/>
          <w:szCs w:val="28"/>
        </w:rPr>
        <w:t xml:space="preserve"> Nghị quyết gồm 05 Điều:</w:t>
      </w:r>
    </w:p>
    <w:p w:rsidR="00E654A2" w:rsidRPr="00E654A2" w:rsidRDefault="00F87CC9" w:rsidP="00E654A2">
      <w:pPr>
        <w:spacing w:before="120" w:after="0" w:line="240" w:lineRule="auto"/>
        <w:ind w:firstLine="720"/>
        <w:jc w:val="both"/>
        <w:rPr>
          <w:rFonts w:eastAsia="Arial"/>
          <w:bCs/>
          <w:color w:val="000000"/>
          <w:sz w:val="28"/>
          <w:szCs w:val="28"/>
        </w:rPr>
      </w:pPr>
      <w:r>
        <w:rPr>
          <w:rFonts w:eastAsia="Arial"/>
          <w:bCs/>
          <w:color w:val="000000"/>
          <w:sz w:val="28"/>
          <w:szCs w:val="28"/>
        </w:rPr>
        <w:t xml:space="preserve">- </w:t>
      </w:r>
      <w:r w:rsidR="00E654A2" w:rsidRPr="00E654A2">
        <w:rPr>
          <w:rFonts w:eastAsia="Arial"/>
          <w:bCs/>
          <w:color w:val="000000"/>
          <w:sz w:val="28"/>
          <w:szCs w:val="28"/>
        </w:rPr>
        <w:t xml:space="preserve">Điều 1. Phạm </w:t>
      </w:r>
      <w:proofErr w:type="gramStart"/>
      <w:r w:rsidR="00E654A2" w:rsidRPr="00E654A2">
        <w:rPr>
          <w:rFonts w:eastAsia="Arial"/>
          <w:bCs/>
          <w:color w:val="000000"/>
          <w:sz w:val="28"/>
          <w:szCs w:val="28"/>
        </w:rPr>
        <w:t>vi</w:t>
      </w:r>
      <w:proofErr w:type="gramEnd"/>
      <w:r w:rsidR="00E654A2" w:rsidRPr="00E654A2">
        <w:rPr>
          <w:rFonts w:eastAsia="Arial"/>
          <w:bCs/>
          <w:color w:val="000000"/>
          <w:sz w:val="28"/>
          <w:szCs w:val="28"/>
        </w:rPr>
        <w:t xml:space="preserve"> điều chỉnh và đối tượng áp dụng</w:t>
      </w:r>
      <w:r>
        <w:rPr>
          <w:rFonts w:eastAsia="Arial"/>
          <w:bCs/>
          <w:color w:val="000000"/>
          <w:sz w:val="28"/>
          <w:szCs w:val="28"/>
        </w:rPr>
        <w:t>.</w:t>
      </w:r>
    </w:p>
    <w:p w:rsidR="00E654A2" w:rsidRPr="00E654A2" w:rsidRDefault="00F87CC9" w:rsidP="00E654A2">
      <w:pPr>
        <w:spacing w:before="120" w:after="0" w:line="240" w:lineRule="auto"/>
        <w:ind w:firstLine="720"/>
        <w:jc w:val="both"/>
        <w:rPr>
          <w:rFonts w:eastAsia="Arial"/>
          <w:bCs/>
          <w:color w:val="000000"/>
          <w:sz w:val="28"/>
          <w:szCs w:val="28"/>
        </w:rPr>
      </w:pPr>
      <w:r>
        <w:rPr>
          <w:rFonts w:eastAsia="Arial"/>
          <w:bCs/>
          <w:color w:val="000000"/>
          <w:sz w:val="28"/>
          <w:szCs w:val="28"/>
        </w:rPr>
        <w:t xml:space="preserve">- </w:t>
      </w:r>
      <w:r w:rsidR="00E654A2" w:rsidRPr="00E654A2">
        <w:rPr>
          <w:rFonts w:eastAsia="Arial"/>
          <w:bCs/>
          <w:color w:val="000000"/>
          <w:sz w:val="28"/>
          <w:szCs w:val="28"/>
        </w:rPr>
        <w:t>Điều 2. Mức chi cho công tác phổ biến, giáo dục pháp luật, chuẩn tiếp cận pháp luật và hòa giải ở cơ sở</w:t>
      </w:r>
      <w:bookmarkStart w:id="1" w:name="dieu_3"/>
      <w:r>
        <w:rPr>
          <w:rFonts w:eastAsia="Arial"/>
          <w:bCs/>
          <w:color w:val="000000"/>
          <w:sz w:val="28"/>
          <w:szCs w:val="28"/>
        </w:rPr>
        <w:t>.</w:t>
      </w:r>
    </w:p>
    <w:p w:rsidR="00E654A2" w:rsidRPr="00F87CC9" w:rsidRDefault="00F87CC9" w:rsidP="00E654A2">
      <w:pPr>
        <w:spacing w:before="120" w:after="0" w:line="240" w:lineRule="auto"/>
        <w:ind w:firstLine="720"/>
        <w:jc w:val="both"/>
        <w:rPr>
          <w:rFonts w:eastAsia="Arial"/>
          <w:bCs/>
          <w:color w:val="000000"/>
          <w:sz w:val="28"/>
          <w:szCs w:val="28"/>
        </w:rPr>
      </w:pPr>
      <w:r>
        <w:rPr>
          <w:rFonts w:eastAsia="Arial"/>
          <w:bCs/>
          <w:color w:val="000000"/>
          <w:sz w:val="28"/>
          <w:szCs w:val="28"/>
        </w:rPr>
        <w:t xml:space="preserve">- </w:t>
      </w:r>
      <w:r w:rsidR="00E654A2" w:rsidRPr="00E654A2">
        <w:rPr>
          <w:rFonts w:eastAsia="Arial"/>
          <w:bCs/>
          <w:color w:val="000000"/>
          <w:sz w:val="28"/>
          <w:szCs w:val="28"/>
          <w:lang w:val="vi-VN"/>
        </w:rPr>
        <w:t xml:space="preserve">Điều </w:t>
      </w:r>
      <w:r w:rsidR="00E654A2" w:rsidRPr="00E654A2">
        <w:rPr>
          <w:rFonts w:eastAsia="Arial"/>
          <w:bCs/>
          <w:color w:val="000000"/>
          <w:sz w:val="28"/>
          <w:szCs w:val="28"/>
        </w:rPr>
        <w:t>3</w:t>
      </w:r>
      <w:r w:rsidR="00E654A2" w:rsidRPr="00E654A2">
        <w:rPr>
          <w:rFonts w:eastAsia="Arial"/>
          <w:bCs/>
          <w:color w:val="000000"/>
          <w:sz w:val="28"/>
          <w:szCs w:val="28"/>
          <w:lang w:val="vi-VN"/>
        </w:rPr>
        <w:t>.</w:t>
      </w:r>
      <w:bookmarkEnd w:id="1"/>
      <w:r w:rsidR="00E654A2" w:rsidRPr="00E654A2">
        <w:rPr>
          <w:rFonts w:eastAsia="Arial"/>
          <w:bCs/>
          <w:color w:val="000000"/>
          <w:sz w:val="28"/>
          <w:szCs w:val="28"/>
          <w:lang w:val="vi-VN"/>
        </w:rPr>
        <w:t> Nguồn kinh phí</w:t>
      </w:r>
      <w:r>
        <w:rPr>
          <w:rFonts w:eastAsia="Arial"/>
          <w:bCs/>
          <w:color w:val="000000"/>
          <w:sz w:val="28"/>
          <w:szCs w:val="28"/>
        </w:rPr>
        <w:t>.</w:t>
      </w:r>
    </w:p>
    <w:p w:rsidR="00E654A2" w:rsidRPr="00E654A2" w:rsidRDefault="00F87CC9" w:rsidP="00E654A2">
      <w:pPr>
        <w:spacing w:before="120" w:after="0" w:line="240" w:lineRule="auto"/>
        <w:ind w:firstLine="720"/>
        <w:jc w:val="both"/>
        <w:rPr>
          <w:rFonts w:eastAsia="Arial"/>
          <w:bCs/>
          <w:color w:val="000000"/>
          <w:sz w:val="28"/>
          <w:szCs w:val="28"/>
        </w:rPr>
      </w:pPr>
      <w:r>
        <w:rPr>
          <w:rFonts w:eastAsia="Arial"/>
          <w:bCs/>
          <w:color w:val="000000"/>
          <w:sz w:val="28"/>
          <w:szCs w:val="28"/>
        </w:rPr>
        <w:t xml:space="preserve">- </w:t>
      </w:r>
      <w:r w:rsidR="00E654A2" w:rsidRPr="00E654A2">
        <w:rPr>
          <w:rFonts w:eastAsia="Arial"/>
          <w:bCs/>
          <w:color w:val="000000"/>
          <w:sz w:val="28"/>
          <w:szCs w:val="28"/>
        </w:rPr>
        <w:t>Điều 4. Điều khoản thi hành</w:t>
      </w:r>
      <w:r>
        <w:rPr>
          <w:rFonts w:eastAsia="Arial"/>
          <w:bCs/>
          <w:color w:val="000000"/>
          <w:sz w:val="28"/>
          <w:szCs w:val="28"/>
        </w:rPr>
        <w:t>.</w:t>
      </w:r>
    </w:p>
    <w:p w:rsidR="00E654A2" w:rsidRPr="00E654A2" w:rsidRDefault="00F87CC9" w:rsidP="00E654A2">
      <w:pPr>
        <w:spacing w:before="120" w:after="0" w:line="240" w:lineRule="auto"/>
        <w:ind w:firstLine="720"/>
        <w:jc w:val="both"/>
        <w:rPr>
          <w:rFonts w:eastAsia="Arial"/>
          <w:bCs/>
          <w:color w:val="000000"/>
          <w:sz w:val="28"/>
          <w:szCs w:val="28"/>
        </w:rPr>
      </w:pPr>
      <w:r>
        <w:rPr>
          <w:rFonts w:eastAsia="Arial"/>
          <w:bCs/>
          <w:color w:val="000000"/>
          <w:sz w:val="28"/>
          <w:szCs w:val="28"/>
        </w:rPr>
        <w:t xml:space="preserve">- </w:t>
      </w:r>
      <w:r w:rsidR="00E654A2" w:rsidRPr="00E654A2">
        <w:rPr>
          <w:rFonts w:eastAsia="Arial"/>
          <w:bCs/>
          <w:color w:val="000000"/>
          <w:sz w:val="28"/>
          <w:szCs w:val="28"/>
        </w:rPr>
        <w:t>Điều 5. Tổ chức thực hiện</w:t>
      </w:r>
      <w:r>
        <w:rPr>
          <w:rFonts w:eastAsia="Arial"/>
          <w:bCs/>
          <w:color w:val="000000"/>
          <w:sz w:val="28"/>
          <w:szCs w:val="28"/>
        </w:rPr>
        <w:t>.</w:t>
      </w:r>
    </w:p>
    <w:p w:rsidR="005B1A9F" w:rsidRPr="00E654A2" w:rsidRDefault="000363FF" w:rsidP="00E654A2">
      <w:pPr>
        <w:spacing w:before="120" w:after="0" w:line="240" w:lineRule="auto"/>
        <w:ind w:firstLine="709"/>
        <w:jc w:val="both"/>
        <w:rPr>
          <w:rFonts w:eastAsia="Arial"/>
          <w:sz w:val="28"/>
          <w:szCs w:val="28"/>
        </w:rPr>
      </w:pPr>
      <w:r w:rsidRPr="000363FF">
        <w:rPr>
          <w:rFonts w:eastAsia="Arial"/>
          <w:sz w:val="28"/>
          <w:szCs w:val="28"/>
        </w:rPr>
        <w:lastRenderedPageBreak/>
        <w:t xml:space="preserve">Ngoài những nội dung và mức chi quy định </w:t>
      </w:r>
      <w:r w:rsidR="00F87CC9">
        <w:rPr>
          <w:rFonts w:eastAsia="Arial"/>
          <w:sz w:val="28"/>
          <w:szCs w:val="28"/>
        </w:rPr>
        <w:t xml:space="preserve">cụ thể </w:t>
      </w:r>
      <w:r w:rsidRPr="000363FF">
        <w:rPr>
          <w:rFonts w:eastAsia="Arial"/>
          <w:sz w:val="28"/>
          <w:szCs w:val="28"/>
        </w:rPr>
        <w:t>tại Nghị quyết này, các nội dung chi còn lại thực hiện theo quy định tại Thông tư số 56/2023/TT-BTC ngày 18/8/2023 của Bộ trưởng Bộ Tài chính quy định việc lập dự toán, quản lý, sử dụng và quyết toán kinh phí ngân sách nhà nước bảo đảm cho công tác phổ biến, giáo dục pháp luật, chuẩn tiếp cận pháp luật và hòa giải ở cơ sở và các quy định pháp luật hiệ</w:t>
      </w:r>
      <w:r w:rsidR="00F87CC9">
        <w:rPr>
          <w:rFonts w:eastAsia="Arial"/>
          <w:sz w:val="28"/>
          <w:szCs w:val="28"/>
        </w:rPr>
        <w:t>n hành</w:t>
      </w:r>
      <w:r w:rsidR="00E654A2">
        <w:rPr>
          <w:rFonts w:eastAsia="Arial"/>
          <w:sz w:val="28"/>
          <w:szCs w:val="28"/>
        </w:rPr>
        <w:t>./.</w:t>
      </w:r>
    </w:p>
    <w:p w:rsidR="005B1A9F" w:rsidRPr="00F87CC9" w:rsidRDefault="00F87CC9" w:rsidP="00F87CC9">
      <w:pPr>
        <w:jc w:val="right"/>
        <w:rPr>
          <w:b/>
          <w:i/>
          <w:sz w:val="28"/>
          <w:szCs w:val="28"/>
        </w:rPr>
      </w:pPr>
      <w:r w:rsidRPr="00F87CC9">
        <w:rPr>
          <w:b/>
          <w:i/>
          <w:sz w:val="28"/>
          <w:szCs w:val="28"/>
        </w:rPr>
        <w:t>Thanh Thảo</w:t>
      </w:r>
    </w:p>
    <w:sectPr w:rsidR="005B1A9F" w:rsidRPr="00F87CC9" w:rsidSect="00F87CC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825" w:rsidRDefault="00E04825" w:rsidP="00E04825">
      <w:pPr>
        <w:spacing w:after="0" w:line="240" w:lineRule="auto"/>
      </w:pPr>
      <w:r>
        <w:separator/>
      </w:r>
    </w:p>
  </w:endnote>
  <w:endnote w:type="continuationSeparator" w:id="0">
    <w:p w:rsidR="00E04825" w:rsidRDefault="00E04825" w:rsidP="00E04825">
      <w:pPr>
        <w:spacing w:after="0" w:line="240" w:lineRule="auto"/>
      </w:pPr>
      <w:r>
        <w:continuationSeparator/>
      </w:r>
    </w:p>
  </w:endnote>
  <w:endnote w:id="1">
    <w:p w:rsidR="00E04825" w:rsidRPr="00F87CC9" w:rsidRDefault="00E04825" w:rsidP="00E04825">
      <w:pPr>
        <w:spacing w:before="120" w:after="120" w:line="240" w:lineRule="auto"/>
        <w:ind w:firstLine="720"/>
        <w:jc w:val="both"/>
        <w:rPr>
          <w:color w:val="000000"/>
          <w:szCs w:val="24"/>
        </w:rPr>
      </w:pPr>
      <w:r w:rsidRPr="00F87CC9">
        <w:rPr>
          <w:rStyle w:val="EndnoteReference"/>
          <w:szCs w:val="24"/>
        </w:rPr>
        <w:endnoteRef/>
      </w:r>
      <w:r w:rsidRPr="00F87CC9">
        <w:rPr>
          <w:szCs w:val="24"/>
        </w:rPr>
        <w:t xml:space="preserve"> </w:t>
      </w:r>
      <w:r w:rsidRPr="00F87CC9">
        <w:rPr>
          <w:i/>
          <w:color w:val="000000"/>
          <w:szCs w:val="24"/>
        </w:rPr>
        <w:t xml:space="preserve">Nghị quyết số 37/2014/NQ-HĐND, ngày 11/12/2014 của Hội đồng nhân dân tỉnh Tây Ninh về quy định mức chi đối với công tác </w:t>
      </w:r>
      <w:r w:rsidRPr="00F87CC9">
        <w:rPr>
          <w:i/>
          <w:color w:val="000000"/>
          <w:szCs w:val="24"/>
        </w:rPr>
        <w:t>phổ biến, giáo dục pháp luật và chuẩn tiếp cận pháp luật</w:t>
      </w:r>
      <w:r w:rsidRPr="00F87CC9">
        <w:rPr>
          <w:i/>
          <w:color w:val="000000"/>
          <w:szCs w:val="24"/>
        </w:rPr>
        <w:t xml:space="preserve"> trên địa bàn tỉnh Tây Ninh; Nghị quyết số 08/2015/QĐ-HĐND, ngày 15/4/2015 của Hội đồng nhân dân tỉnh Tây Ninh </w:t>
      </w:r>
      <w:r w:rsidRPr="00F87CC9">
        <w:rPr>
          <w:i/>
          <w:color w:val="000000"/>
          <w:szCs w:val="24"/>
        </w:rPr>
        <w:t>s</w:t>
      </w:r>
      <w:r w:rsidRPr="00F87CC9">
        <w:rPr>
          <w:i/>
          <w:color w:val="000000"/>
          <w:szCs w:val="24"/>
        </w:rPr>
        <w:t>ửa đổi một số mức chi tại Phụ lục kèm theo Nghị quyết số 37/2014/NQ-HĐND ngày 11/12/2014 của Hội đồng nhân dân tỉnh Tây Ninh về quy định mức chi đối với công tác phổ biến, giáo dục pháp luật và chuẩn tiếp cận pháp luật trên địa bàn tỉnh Tây Ninh; Nghị quyết số 15/2015/NQ-HĐND, ngày 05/8/2015 của Hội đồng nhân dân tỉnh Tây Ninh về quy định mức chi cho công tác hòa giải cơ sở trên địa bàn tỉnh Tây Ninh</w:t>
      </w:r>
      <w:r w:rsidRPr="00F87CC9">
        <w:rPr>
          <w:i/>
          <w:color w:val="000000"/>
          <w:szCs w:val="24"/>
        </w:rPr>
        <w:t>.</w:t>
      </w:r>
    </w:p>
    <w:p w:rsidR="00E04825" w:rsidRDefault="00E04825">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825" w:rsidRDefault="00E04825" w:rsidP="00E04825">
      <w:pPr>
        <w:spacing w:after="0" w:line="240" w:lineRule="auto"/>
      </w:pPr>
      <w:r>
        <w:separator/>
      </w:r>
    </w:p>
  </w:footnote>
  <w:footnote w:type="continuationSeparator" w:id="0">
    <w:p w:rsidR="00E04825" w:rsidRDefault="00E04825" w:rsidP="00E04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E71EC"/>
    <w:multiLevelType w:val="singleLevel"/>
    <w:tmpl w:val="1B8E71EC"/>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0B"/>
    <w:rsid w:val="000363FF"/>
    <w:rsid w:val="0023789B"/>
    <w:rsid w:val="005B1A9F"/>
    <w:rsid w:val="00686F91"/>
    <w:rsid w:val="007909ED"/>
    <w:rsid w:val="00851A4C"/>
    <w:rsid w:val="00884976"/>
    <w:rsid w:val="00B138B8"/>
    <w:rsid w:val="00E04825"/>
    <w:rsid w:val="00E654A2"/>
    <w:rsid w:val="00E9140B"/>
    <w:rsid w:val="00F8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B11B-7804-4DBD-A4D7-5538B61A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851"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9F"/>
    <w:pPr>
      <w:spacing w:after="160"/>
      <w:ind w:left="0" w:firstLine="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4A2"/>
    <w:pPr>
      <w:ind w:left="720"/>
      <w:contextualSpacing/>
    </w:pPr>
  </w:style>
  <w:style w:type="paragraph" w:styleId="EndnoteText">
    <w:name w:val="endnote text"/>
    <w:basedOn w:val="Normal"/>
    <w:link w:val="EndnoteTextChar"/>
    <w:uiPriority w:val="99"/>
    <w:semiHidden/>
    <w:unhideWhenUsed/>
    <w:rsid w:val="00E048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4825"/>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E04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FEC1-EA17-4A07-9CB2-B2C14E53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2</cp:revision>
  <dcterms:created xsi:type="dcterms:W3CDTF">2024-05-07T09:08:00Z</dcterms:created>
  <dcterms:modified xsi:type="dcterms:W3CDTF">2024-05-07T09:08:00Z</dcterms:modified>
</cp:coreProperties>
</file>